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9054B">
      <w:pPr>
        <w:pStyle w:val="156"/>
      </w:pPr>
      <w:r>
        <w:t>STROBE Statement—checklist of items that should be included in reports of observational studies</w:t>
      </w:r>
    </w:p>
    <w:p w14:paraId="7A71E375">
      <w:pPr>
        <w:pStyle w:val="156"/>
      </w:pPr>
    </w:p>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114"/>
        <w:gridCol w:w="721"/>
        <w:gridCol w:w="3825"/>
        <w:gridCol w:w="3197"/>
      </w:tblGrid>
      <w:tr w14:paraId="0F8C547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B76F3FB">
            <w:pPr>
              <w:tabs>
                <w:tab w:val="left" w:pos="5400"/>
              </w:tabs>
              <w:rPr>
                <w:sz w:val="20"/>
              </w:rPr>
            </w:pPr>
            <w:bookmarkStart w:id="0" w:name="bold1" w:colFirst="1" w:colLast="1"/>
            <w:bookmarkStart w:id="1" w:name="bold3" w:colFirst="3" w:colLast="3"/>
            <w:bookmarkStart w:id="2" w:name="italic5" w:colFirst="4" w:colLast="4"/>
            <w:bookmarkStart w:id="3" w:name="italic4" w:colFirst="3" w:colLast="3"/>
            <w:bookmarkStart w:id="4" w:name="italic1" w:colFirst="0" w:colLast="0"/>
            <w:bookmarkStart w:id="5" w:name="bold4" w:colFirst="4" w:colLast="4"/>
            <w:bookmarkStart w:id="6" w:name="italic3" w:colFirst="2" w:colLast="2"/>
            <w:bookmarkStart w:id="7" w:name="bold2" w:colFirst="2" w:colLast="2"/>
            <w:bookmarkStart w:id="8" w:name="italic2" w:colFirst="1" w:colLast="1"/>
          </w:p>
        </w:tc>
        <w:tc>
          <w:tcPr>
            <w:tcW w:w="0" w:type="auto"/>
          </w:tcPr>
          <w:p w14:paraId="16749CBB">
            <w:pPr>
              <w:pStyle w:val="166"/>
              <w:tabs>
                <w:tab w:val="left" w:pos="5400"/>
              </w:tabs>
              <w:jc w:val="center"/>
              <w:rPr>
                <w:bCs/>
                <w:sz w:val="20"/>
              </w:rPr>
            </w:pPr>
            <w:r>
              <w:rPr>
                <w:bCs/>
                <w:sz w:val="20"/>
              </w:rPr>
              <w:t>Item No</w:t>
            </w:r>
          </w:p>
        </w:tc>
        <w:tc>
          <w:tcPr>
            <w:tcW w:w="3825" w:type="dxa"/>
            <w:tcBorders>
              <w:right w:val="single" w:color="auto" w:sz="4" w:space="0"/>
            </w:tcBorders>
            <w:vAlign w:val="bottom"/>
          </w:tcPr>
          <w:p w14:paraId="0039DC86">
            <w:pPr>
              <w:pStyle w:val="166"/>
              <w:tabs>
                <w:tab w:val="left" w:pos="5400"/>
              </w:tabs>
              <w:jc w:val="center"/>
              <w:rPr>
                <w:bCs/>
                <w:sz w:val="20"/>
              </w:rPr>
            </w:pPr>
            <w:r>
              <w:rPr>
                <w:bCs/>
                <w:sz w:val="20"/>
              </w:rPr>
              <w:t>Recommendation</w:t>
            </w:r>
          </w:p>
        </w:tc>
        <w:tc>
          <w:tcPr>
            <w:tcW w:w="3197" w:type="dxa"/>
            <w:tcBorders>
              <w:top w:val="nil"/>
              <w:left w:val="single" w:color="auto" w:sz="4" w:space="0"/>
              <w:bottom w:val="single" w:color="auto" w:sz="4" w:space="0"/>
            </w:tcBorders>
          </w:tcPr>
          <w:p w14:paraId="75DA58F3">
            <w:pPr>
              <w:pStyle w:val="166"/>
              <w:tabs>
                <w:tab w:val="left" w:pos="5400"/>
              </w:tabs>
              <w:jc w:val="center"/>
              <w:rPr>
                <w:bCs/>
                <w:sz w:val="20"/>
              </w:rPr>
            </w:pPr>
            <w:r>
              <w:rPr>
                <w:bCs/>
                <w:sz w:val="20"/>
              </w:rPr>
              <w:t xml:space="preserve">Page </w:t>
            </w:r>
            <w:r>
              <w:rPr>
                <w:bCs/>
                <w:sz w:val="20"/>
              </w:rPr>
              <w:br w:type="textWrapping"/>
            </w:r>
            <w:r>
              <w:rPr>
                <w:bCs/>
                <w:sz w:val="20"/>
              </w:rPr>
              <w:t>No</w:t>
            </w:r>
          </w:p>
        </w:tc>
      </w:tr>
      <w:bookmarkEnd w:id="0"/>
      <w:bookmarkEnd w:id="1"/>
      <w:bookmarkEnd w:id="2"/>
      <w:bookmarkEnd w:id="3"/>
      <w:bookmarkEnd w:id="4"/>
      <w:bookmarkEnd w:id="5"/>
      <w:bookmarkEnd w:id="6"/>
      <w:bookmarkEnd w:id="7"/>
      <w:bookmarkEnd w:id="8"/>
      <w:tr w14:paraId="7B01231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61F80DF2">
            <w:pPr>
              <w:tabs>
                <w:tab w:val="left" w:pos="5400"/>
              </w:tabs>
              <w:rPr>
                <w:b/>
                <w:bCs/>
                <w:sz w:val="20"/>
              </w:rPr>
            </w:pPr>
            <w:bookmarkStart w:id="9" w:name="italic6"/>
            <w:bookmarkStart w:id="10" w:name="bold5"/>
            <w:r>
              <w:rPr>
                <w:b/>
                <w:sz w:val="20"/>
              </w:rPr>
              <w:t>Title and abstract</w:t>
            </w:r>
            <w:bookmarkEnd w:id="9"/>
            <w:bookmarkEnd w:id="10"/>
          </w:p>
        </w:tc>
        <w:tc>
          <w:tcPr>
            <w:tcW w:w="0" w:type="auto"/>
            <w:vMerge w:val="restart"/>
          </w:tcPr>
          <w:p w14:paraId="2862F612">
            <w:pPr>
              <w:tabs>
                <w:tab w:val="left" w:pos="5400"/>
              </w:tabs>
              <w:jc w:val="center"/>
              <w:rPr>
                <w:sz w:val="20"/>
              </w:rPr>
            </w:pPr>
            <w:r>
              <w:rPr>
                <w:sz w:val="20"/>
              </w:rPr>
              <w:t>1</w:t>
            </w:r>
          </w:p>
        </w:tc>
        <w:tc>
          <w:tcPr>
            <w:tcW w:w="3825" w:type="dxa"/>
            <w:tcBorders>
              <w:right w:val="single" w:color="auto" w:sz="4" w:space="0"/>
            </w:tcBorders>
          </w:tcPr>
          <w:p w14:paraId="4C1D6A8A">
            <w:pPr>
              <w:tabs>
                <w:tab w:val="left" w:pos="5400"/>
              </w:tabs>
              <w:rPr>
                <w:sz w:val="20"/>
              </w:rPr>
            </w:pPr>
            <w:r>
              <w:rPr>
                <w:sz w:val="20"/>
              </w:rPr>
              <w:t>(</w:t>
            </w:r>
            <w:r>
              <w:rPr>
                <w:i/>
                <w:sz w:val="20"/>
              </w:rPr>
              <w:t>a</w:t>
            </w:r>
            <w:r>
              <w:rPr>
                <w:sz w:val="20"/>
              </w:rPr>
              <w:t>) Indicate the study’s design with a commonly used term in the title or the abstract</w:t>
            </w:r>
          </w:p>
        </w:tc>
        <w:tc>
          <w:tcPr>
            <w:tcW w:w="3197" w:type="dxa"/>
            <w:tcBorders>
              <w:top w:val="single" w:color="auto" w:sz="4" w:space="0"/>
              <w:left w:val="single" w:color="auto" w:sz="4" w:space="0"/>
              <w:bottom w:val="single" w:color="auto" w:sz="4" w:space="0"/>
            </w:tcBorders>
          </w:tcPr>
          <w:p w14:paraId="2718212E">
            <w:pPr>
              <w:tabs>
                <w:tab w:val="left" w:pos="5400"/>
              </w:tabs>
              <w:rPr>
                <w:sz w:val="20"/>
              </w:rPr>
            </w:pPr>
            <w:r>
              <w:rPr>
                <w:rFonts w:hint="eastAsia"/>
                <w:sz w:val="20"/>
              </w:rPr>
              <w:t>Title does not explicitly state design; abstract states “retrospective analysis” (Page 1, Abstract, line 1).</w:t>
            </w:r>
          </w:p>
        </w:tc>
      </w:tr>
      <w:tr w14:paraId="16966EE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1461B2A">
            <w:pPr>
              <w:tabs>
                <w:tab w:val="left" w:pos="5400"/>
              </w:tabs>
              <w:rPr>
                <w:bCs/>
                <w:sz w:val="20"/>
              </w:rPr>
            </w:pPr>
            <w:bookmarkStart w:id="11" w:name="bold6" w:colFirst="0" w:colLast="0"/>
            <w:bookmarkStart w:id="12" w:name="italic7" w:colFirst="0" w:colLast="0"/>
          </w:p>
        </w:tc>
        <w:tc>
          <w:tcPr>
            <w:tcW w:w="0" w:type="auto"/>
            <w:vMerge w:val="continue"/>
          </w:tcPr>
          <w:p w14:paraId="191DEA8B">
            <w:pPr>
              <w:tabs>
                <w:tab w:val="left" w:pos="5400"/>
              </w:tabs>
              <w:jc w:val="center"/>
              <w:rPr>
                <w:sz w:val="20"/>
              </w:rPr>
            </w:pPr>
          </w:p>
        </w:tc>
        <w:tc>
          <w:tcPr>
            <w:tcW w:w="3825" w:type="dxa"/>
            <w:tcBorders>
              <w:right w:val="single" w:color="auto" w:sz="4" w:space="0"/>
            </w:tcBorders>
          </w:tcPr>
          <w:p w14:paraId="7DA2DB03">
            <w:pPr>
              <w:tabs>
                <w:tab w:val="left" w:pos="5400"/>
              </w:tabs>
              <w:rPr>
                <w:sz w:val="20"/>
              </w:rPr>
            </w:pPr>
            <w:r>
              <w:rPr>
                <w:sz w:val="20"/>
              </w:rPr>
              <w:t>(</w:t>
            </w:r>
            <w:r>
              <w:rPr>
                <w:i/>
                <w:sz w:val="20"/>
              </w:rPr>
              <w:t>b</w:t>
            </w:r>
            <w:r>
              <w:rPr>
                <w:sz w:val="20"/>
              </w:rPr>
              <w:t>) Provide in the abstract an informative and balanced summary of what was done and what was found</w:t>
            </w:r>
          </w:p>
        </w:tc>
        <w:tc>
          <w:tcPr>
            <w:tcW w:w="3197" w:type="dxa"/>
            <w:tcBorders>
              <w:top w:val="single" w:color="auto" w:sz="4" w:space="0"/>
              <w:left w:val="single" w:color="auto" w:sz="4" w:space="0"/>
              <w:bottom w:val="single" w:color="auto" w:sz="4" w:space="0"/>
            </w:tcBorders>
          </w:tcPr>
          <w:p w14:paraId="6D9F89AD">
            <w:pPr>
              <w:tabs>
                <w:tab w:val="left" w:pos="5400"/>
              </w:tabs>
              <w:rPr>
                <w:sz w:val="20"/>
              </w:rPr>
            </w:pPr>
            <w:r>
              <w:rPr>
                <w:rFonts w:hint="eastAsia"/>
                <w:sz w:val="20"/>
              </w:rPr>
              <w:t>Abstract includes: background, methods (121 patients, PET/MRI parameters, logistic regression, ROC, calibration, DCA), key results (IDRF, M stage, necrosis, hemorrhage, SUVmax, MTV, ADCmean, ORs, AUC=0.916, sensitivity 83.3%, specificity 81.0%), and conclusion (Page 1).</w:t>
            </w:r>
          </w:p>
        </w:tc>
      </w:tr>
      <w:bookmarkEnd w:id="11"/>
      <w:bookmarkEnd w:id="12"/>
      <w:tr w14:paraId="45CF59D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375E7251">
            <w:pPr>
              <w:pStyle w:val="168"/>
              <w:tabs>
                <w:tab w:val="left" w:pos="5400"/>
              </w:tabs>
              <w:rPr>
                <w:sz w:val="20"/>
              </w:rPr>
            </w:pPr>
            <w:bookmarkStart w:id="13" w:name="italic8"/>
            <w:bookmarkStart w:id="14" w:name="bold7"/>
            <w:r>
              <w:rPr>
                <w:sz w:val="20"/>
              </w:rPr>
              <w:t>Introduction</w:t>
            </w:r>
            <w:bookmarkEnd w:id="13"/>
            <w:bookmarkEnd w:id="14"/>
          </w:p>
        </w:tc>
      </w:tr>
      <w:tr w14:paraId="024BCF2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5FCAB653">
            <w:pPr>
              <w:tabs>
                <w:tab w:val="left" w:pos="5400"/>
              </w:tabs>
              <w:rPr>
                <w:bCs/>
                <w:sz w:val="20"/>
              </w:rPr>
            </w:pPr>
            <w:bookmarkStart w:id="15" w:name="bold8"/>
            <w:bookmarkStart w:id="16" w:name="italic9"/>
            <w:r>
              <w:rPr>
                <w:bCs/>
                <w:sz w:val="20"/>
              </w:rPr>
              <w:t>Background/</w:t>
            </w:r>
            <w:bookmarkEnd w:id="15"/>
            <w:bookmarkEnd w:id="16"/>
            <w:bookmarkStart w:id="17" w:name="bold9"/>
            <w:bookmarkStart w:id="18" w:name="italic10"/>
            <w:r>
              <w:rPr>
                <w:bCs/>
                <w:sz w:val="20"/>
              </w:rPr>
              <w:t>rationale</w:t>
            </w:r>
            <w:bookmarkEnd w:id="17"/>
            <w:bookmarkEnd w:id="18"/>
          </w:p>
        </w:tc>
        <w:tc>
          <w:tcPr>
            <w:tcW w:w="0" w:type="auto"/>
          </w:tcPr>
          <w:p w14:paraId="4B3854F3">
            <w:pPr>
              <w:tabs>
                <w:tab w:val="left" w:pos="5400"/>
              </w:tabs>
              <w:jc w:val="center"/>
              <w:rPr>
                <w:sz w:val="20"/>
              </w:rPr>
            </w:pPr>
            <w:r>
              <w:rPr>
                <w:sz w:val="20"/>
              </w:rPr>
              <w:t>2</w:t>
            </w:r>
          </w:p>
        </w:tc>
        <w:tc>
          <w:tcPr>
            <w:tcW w:w="3825" w:type="dxa"/>
            <w:tcBorders>
              <w:right w:val="single" w:color="auto" w:sz="4" w:space="0"/>
            </w:tcBorders>
          </w:tcPr>
          <w:p w14:paraId="08CD9D14">
            <w:pPr>
              <w:tabs>
                <w:tab w:val="left" w:pos="5400"/>
              </w:tabs>
              <w:rPr>
                <w:sz w:val="20"/>
              </w:rPr>
            </w:pPr>
            <w:r>
              <w:rPr>
                <w:sz w:val="20"/>
              </w:rPr>
              <w:t>Explain the scientific background and rationale for the investigation being reported</w:t>
            </w:r>
          </w:p>
        </w:tc>
        <w:tc>
          <w:tcPr>
            <w:tcW w:w="3197" w:type="dxa"/>
            <w:tcBorders>
              <w:top w:val="single" w:color="auto" w:sz="4" w:space="0"/>
              <w:left w:val="single" w:color="auto" w:sz="4" w:space="0"/>
              <w:bottom w:val="single" w:color="auto" w:sz="4" w:space="0"/>
            </w:tcBorders>
          </w:tcPr>
          <w:p w14:paraId="29C00A86">
            <w:pPr>
              <w:tabs>
                <w:tab w:val="left" w:pos="5400"/>
              </w:tabs>
              <w:rPr>
                <w:sz w:val="20"/>
              </w:rPr>
            </w:pPr>
            <w:r>
              <w:rPr>
                <w:rFonts w:hint="eastAsia"/>
                <w:sz w:val="20"/>
              </w:rPr>
              <w:t>Introduction (Paragraphs 1–3): describes NB, MYCN amplification as key prognostic marker, limitations of FISH, role of PET/CT, and rationale for using PET/MRI multiparametric imaging to predict MYCN status (Pages 1–2).</w:t>
            </w:r>
          </w:p>
        </w:tc>
      </w:tr>
      <w:tr w14:paraId="564A7E5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78FE117">
            <w:pPr>
              <w:tabs>
                <w:tab w:val="left" w:pos="5400"/>
              </w:tabs>
              <w:rPr>
                <w:bCs/>
                <w:sz w:val="20"/>
              </w:rPr>
            </w:pPr>
            <w:bookmarkStart w:id="19" w:name="bold10" w:colFirst="0" w:colLast="0"/>
            <w:bookmarkStart w:id="20" w:name="italic11" w:colFirst="0" w:colLast="0"/>
            <w:r>
              <w:rPr>
                <w:bCs/>
                <w:sz w:val="20"/>
              </w:rPr>
              <w:t>Objectives</w:t>
            </w:r>
          </w:p>
        </w:tc>
        <w:tc>
          <w:tcPr>
            <w:tcW w:w="0" w:type="auto"/>
          </w:tcPr>
          <w:p w14:paraId="59017BDC">
            <w:pPr>
              <w:tabs>
                <w:tab w:val="left" w:pos="5400"/>
              </w:tabs>
              <w:jc w:val="center"/>
              <w:rPr>
                <w:sz w:val="20"/>
              </w:rPr>
            </w:pPr>
            <w:r>
              <w:rPr>
                <w:sz w:val="20"/>
              </w:rPr>
              <w:t>3</w:t>
            </w:r>
          </w:p>
        </w:tc>
        <w:tc>
          <w:tcPr>
            <w:tcW w:w="3825" w:type="dxa"/>
            <w:tcBorders>
              <w:right w:val="single" w:color="auto" w:sz="4" w:space="0"/>
            </w:tcBorders>
          </w:tcPr>
          <w:p w14:paraId="2A65B4DF">
            <w:pPr>
              <w:tabs>
                <w:tab w:val="left" w:pos="5400"/>
              </w:tabs>
              <w:rPr>
                <w:sz w:val="20"/>
              </w:rPr>
            </w:pPr>
            <w:r>
              <w:rPr>
                <w:sz w:val="20"/>
              </w:rPr>
              <w:t>State specific objectives, including any prespecified hypotheses</w:t>
            </w:r>
          </w:p>
        </w:tc>
        <w:tc>
          <w:tcPr>
            <w:tcW w:w="3197" w:type="dxa"/>
            <w:tcBorders>
              <w:top w:val="single" w:color="auto" w:sz="4" w:space="0"/>
              <w:left w:val="single" w:color="auto" w:sz="4" w:space="0"/>
              <w:bottom w:val="single" w:color="auto" w:sz="4" w:space="0"/>
            </w:tcBorders>
          </w:tcPr>
          <w:p w14:paraId="4A225F7E">
            <w:pPr>
              <w:tabs>
                <w:tab w:val="left" w:pos="5400"/>
              </w:tabs>
              <w:rPr>
                <w:sz w:val="20"/>
              </w:rPr>
            </w:pPr>
            <w:r>
              <w:rPr>
                <w:rFonts w:hint="eastAsia"/>
                <w:sz w:val="20"/>
              </w:rPr>
              <w:t>End of Introduction: “This study integrated ¹⁸F-FDG PET/MRI-based imaging parameters and clinical data to construct a multimodal imaging model to assess the noninvasive predictive capacity for MYCN gene amplification status in high-risk neuroblastoma (HR-NB) patients.” (Page 2)</w:t>
            </w:r>
          </w:p>
        </w:tc>
      </w:tr>
      <w:bookmarkEnd w:id="19"/>
      <w:bookmarkEnd w:id="20"/>
      <w:tr w14:paraId="36A2563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gridSpan w:val="4"/>
          </w:tcPr>
          <w:p w14:paraId="4BD76976">
            <w:pPr>
              <w:pStyle w:val="168"/>
              <w:tabs>
                <w:tab w:val="left" w:pos="5400"/>
              </w:tabs>
              <w:rPr>
                <w:sz w:val="20"/>
              </w:rPr>
            </w:pPr>
            <w:bookmarkStart w:id="21" w:name="italic12"/>
            <w:bookmarkStart w:id="22" w:name="bold11"/>
            <w:r>
              <w:rPr>
                <w:sz w:val="20"/>
              </w:rPr>
              <w:t>Methods</w:t>
            </w:r>
            <w:bookmarkEnd w:id="21"/>
            <w:bookmarkEnd w:id="22"/>
          </w:p>
        </w:tc>
      </w:tr>
      <w:tr w14:paraId="770E6C7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9C0EB89">
            <w:pPr>
              <w:tabs>
                <w:tab w:val="left" w:pos="5400"/>
              </w:tabs>
              <w:rPr>
                <w:bCs/>
                <w:sz w:val="20"/>
              </w:rPr>
            </w:pPr>
            <w:bookmarkStart w:id="23" w:name="bold12" w:colFirst="0" w:colLast="0"/>
            <w:bookmarkStart w:id="24" w:name="italic13" w:colFirst="0" w:colLast="0"/>
            <w:r>
              <w:rPr>
                <w:bCs/>
                <w:sz w:val="20"/>
              </w:rPr>
              <w:t>Study design</w:t>
            </w:r>
          </w:p>
        </w:tc>
        <w:tc>
          <w:tcPr>
            <w:tcW w:w="0" w:type="auto"/>
          </w:tcPr>
          <w:p w14:paraId="3F1E80D4">
            <w:pPr>
              <w:tabs>
                <w:tab w:val="left" w:pos="5400"/>
              </w:tabs>
              <w:jc w:val="center"/>
              <w:rPr>
                <w:sz w:val="20"/>
              </w:rPr>
            </w:pPr>
            <w:r>
              <w:rPr>
                <w:sz w:val="20"/>
              </w:rPr>
              <w:t>4</w:t>
            </w:r>
          </w:p>
        </w:tc>
        <w:tc>
          <w:tcPr>
            <w:tcW w:w="3825" w:type="dxa"/>
            <w:tcBorders>
              <w:right w:val="single" w:color="auto" w:sz="4" w:space="0"/>
            </w:tcBorders>
          </w:tcPr>
          <w:p w14:paraId="6EC8CA29">
            <w:pPr>
              <w:tabs>
                <w:tab w:val="left" w:pos="5400"/>
              </w:tabs>
              <w:rPr>
                <w:sz w:val="20"/>
              </w:rPr>
            </w:pPr>
            <w:r>
              <w:rPr>
                <w:sz w:val="20"/>
              </w:rPr>
              <w:t>Present key elements of study design early in the paper</w:t>
            </w:r>
          </w:p>
        </w:tc>
        <w:tc>
          <w:tcPr>
            <w:tcW w:w="3197" w:type="dxa"/>
            <w:tcBorders>
              <w:top w:val="single" w:color="auto" w:sz="4" w:space="0"/>
              <w:left w:val="single" w:color="auto" w:sz="4" w:space="0"/>
              <w:bottom w:val="single" w:color="auto" w:sz="4" w:space="0"/>
            </w:tcBorders>
          </w:tcPr>
          <w:p w14:paraId="50D8530D">
            <w:pPr>
              <w:tabs>
                <w:tab w:val="left" w:pos="5400"/>
              </w:tabs>
              <w:rPr>
                <w:sz w:val="20"/>
              </w:rPr>
            </w:pPr>
            <w:r>
              <w:rPr>
                <w:rFonts w:hint="eastAsia"/>
                <w:sz w:val="20"/>
              </w:rPr>
              <w:t>Section 2.1, first sentence: “A retrospective analysis was conducted on the clinical and PET/MRI imaging data of 121 children with HR-NB…” (Page 2)</w:t>
            </w:r>
          </w:p>
        </w:tc>
      </w:tr>
      <w:bookmarkEnd w:id="23"/>
      <w:bookmarkEnd w:id="24"/>
      <w:tr w14:paraId="760DB37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FDFA382">
            <w:pPr>
              <w:tabs>
                <w:tab w:val="left" w:pos="5400"/>
              </w:tabs>
              <w:rPr>
                <w:bCs/>
                <w:sz w:val="20"/>
              </w:rPr>
            </w:pPr>
            <w:bookmarkStart w:id="25" w:name="italic14" w:colFirst="0" w:colLast="0"/>
            <w:bookmarkStart w:id="26" w:name="bold13" w:colFirst="0" w:colLast="0"/>
            <w:r>
              <w:rPr>
                <w:bCs/>
                <w:sz w:val="20"/>
              </w:rPr>
              <w:t>Setting</w:t>
            </w:r>
          </w:p>
        </w:tc>
        <w:tc>
          <w:tcPr>
            <w:tcW w:w="0" w:type="auto"/>
          </w:tcPr>
          <w:p w14:paraId="15E5DEB9">
            <w:pPr>
              <w:tabs>
                <w:tab w:val="left" w:pos="5400"/>
              </w:tabs>
              <w:jc w:val="center"/>
              <w:rPr>
                <w:sz w:val="20"/>
              </w:rPr>
            </w:pPr>
            <w:r>
              <w:rPr>
                <w:sz w:val="20"/>
              </w:rPr>
              <w:t>5</w:t>
            </w:r>
          </w:p>
        </w:tc>
        <w:tc>
          <w:tcPr>
            <w:tcW w:w="3825" w:type="dxa"/>
            <w:tcBorders>
              <w:right w:val="single" w:color="auto" w:sz="4" w:space="0"/>
            </w:tcBorders>
          </w:tcPr>
          <w:p w14:paraId="4AEEC5BE">
            <w:pPr>
              <w:tabs>
                <w:tab w:val="left" w:pos="5400"/>
              </w:tabs>
              <w:rPr>
                <w:sz w:val="20"/>
              </w:rPr>
            </w:pPr>
            <w:r>
              <w:rPr>
                <w:sz w:val="20"/>
              </w:rPr>
              <w:t>Describe the setting, locations, and relevant dates, including periods of recruitment, exposure, follow-up, and data collection</w:t>
            </w:r>
          </w:p>
        </w:tc>
        <w:tc>
          <w:tcPr>
            <w:tcW w:w="3197" w:type="dxa"/>
            <w:tcBorders>
              <w:top w:val="single" w:color="auto" w:sz="4" w:space="0"/>
              <w:left w:val="single" w:color="auto" w:sz="4" w:space="0"/>
              <w:bottom w:val="single" w:color="auto" w:sz="4" w:space="0"/>
            </w:tcBorders>
          </w:tcPr>
          <w:p w14:paraId="60ADCEAE">
            <w:pPr>
              <w:tabs>
                <w:tab w:val="left" w:pos="5400"/>
              </w:tabs>
              <w:rPr>
                <w:sz w:val="20"/>
              </w:rPr>
            </w:pPr>
            <w:r>
              <w:rPr>
                <w:rFonts w:hint="eastAsia"/>
                <w:sz w:val="20"/>
              </w:rPr>
              <w:t>Section 2.1: “at our center between December 2018 and December 2025.” PET/MRI performed 40–60 min post-injection, before treatment. No follow-up (cross-sectional exposure/outcome assessment). (Page 2)</w:t>
            </w:r>
          </w:p>
        </w:tc>
      </w:tr>
      <w:bookmarkEnd w:id="25"/>
      <w:bookmarkEnd w:id="26"/>
      <w:tr w14:paraId="5F4B9BE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75EBF71C">
            <w:pPr>
              <w:tabs>
                <w:tab w:val="left" w:pos="5400"/>
              </w:tabs>
              <w:rPr>
                <w:bCs/>
                <w:sz w:val="20"/>
              </w:rPr>
            </w:pPr>
            <w:r>
              <w:rPr>
                <w:bCs/>
                <w:sz w:val="20"/>
              </w:rPr>
              <w:t>Participants</w:t>
            </w:r>
          </w:p>
        </w:tc>
        <w:tc>
          <w:tcPr>
            <w:tcW w:w="0" w:type="auto"/>
            <w:vMerge w:val="restart"/>
          </w:tcPr>
          <w:p w14:paraId="6F5CD758">
            <w:pPr>
              <w:tabs>
                <w:tab w:val="left" w:pos="5400"/>
              </w:tabs>
              <w:jc w:val="center"/>
              <w:rPr>
                <w:sz w:val="20"/>
              </w:rPr>
            </w:pPr>
            <w:r>
              <w:rPr>
                <w:sz w:val="20"/>
              </w:rPr>
              <w:t>6</w:t>
            </w:r>
          </w:p>
        </w:tc>
        <w:tc>
          <w:tcPr>
            <w:tcW w:w="3825" w:type="dxa"/>
            <w:tcBorders>
              <w:right w:val="single" w:color="auto" w:sz="4" w:space="0"/>
            </w:tcBorders>
          </w:tcPr>
          <w:p w14:paraId="3E637A14">
            <w:pPr>
              <w:tabs>
                <w:tab w:val="left" w:pos="5400"/>
              </w:tabs>
              <w:rPr>
                <w:sz w:val="20"/>
              </w:rPr>
            </w:pPr>
            <w:r>
              <w:rPr>
                <w:sz w:val="20"/>
              </w:rPr>
              <w:t>(</w:t>
            </w:r>
            <w:r>
              <w:rPr>
                <w:i/>
                <w:sz w:val="20"/>
              </w:rPr>
              <w:t>a</w:t>
            </w:r>
            <w:r>
              <w:rPr>
                <w:sz w:val="20"/>
              </w:rPr>
              <w:t xml:space="preserve">) </w:t>
            </w:r>
            <w:r>
              <w:rPr>
                <w:i/>
                <w:sz w:val="20"/>
              </w:rPr>
              <w:t>Cohort study</w:t>
            </w:r>
            <w:r>
              <w:rPr>
                <w:sz w:val="20"/>
              </w:rPr>
              <w:t>—Give the eligibility criteria, and the sources and methods of selection of participants. Describe methods of follow-up</w:t>
            </w:r>
          </w:p>
          <w:p w14:paraId="080F4BE6">
            <w:pPr>
              <w:tabs>
                <w:tab w:val="left" w:pos="5400"/>
              </w:tabs>
              <w:rPr>
                <w:sz w:val="20"/>
              </w:rPr>
            </w:pPr>
            <w:r>
              <w:rPr>
                <w:i/>
                <w:sz w:val="20"/>
              </w:rPr>
              <w:t>Case-control study</w:t>
            </w:r>
            <w:r>
              <w:rPr>
                <w:sz w:val="20"/>
              </w:rPr>
              <w:t>—Give the eligibility criteria, and the sources and methods of case ascertainment and control selection. Give the rationale for the choice of cases and controls</w:t>
            </w:r>
          </w:p>
          <w:p w14:paraId="3E0ACB7E">
            <w:pPr>
              <w:tabs>
                <w:tab w:val="left" w:pos="5400"/>
              </w:tabs>
              <w:rPr>
                <w:sz w:val="20"/>
              </w:rPr>
            </w:pPr>
            <w:r>
              <w:rPr>
                <w:i/>
                <w:sz w:val="20"/>
              </w:rPr>
              <w:t>Cross-sectional study</w:t>
            </w:r>
            <w:r>
              <w:rPr>
                <w:sz w:val="20"/>
              </w:rPr>
              <w:t>—Give the eligibility criteria, and the sources and methods of selection of participants</w:t>
            </w:r>
          </w:p>
        </w:tc>
        <w:tc>
          <w:tcPr>
            <w:tcW w:w="3197" w:type="dxa"/>
            <w:tcBorders>
              <w:top w:val="single" w:color="auto" w:sz="4" w:space="0"/>
              <w:left w:val="single" w:color="auto" w:sz="4" w:space="0"/>
              <w:bottom w:val="single" w:color="auto" w:sz="4" w:space="0"/>
            </w:tcBorders>
          </w:tcPr>
          <w:p w14:paraId="18633040">
            <w:pPr>
              <w:tabs>
                <w:tab w:val="left" w:pos="5400"/>
              </w:tabs>
              <w:rPr>
                <w:sz w:val="20"/>
              </w:rPr>
            </w:pPr>
            <w:r>
              <w:rPr>
                <w:rFonts w:hint="eastAsia"/>
                <w:sz w:val="20"/>
              </w:rPr>
              <w:t>Section 2.1: inclusion criteria (1–4) and exclusion criteria (1–4). Follow-up not applicable (outcome measured at baseline). (Page 2)</w:t>
            </w:r>
          </w:p>
        </w:tc>
      </w:tr>
      <w:tr w14:paraId="0E0F6AC3">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6CAE3BF">
            <w:pPr>
              <w:tabs>
                <w:tab w:val="left" w:pos="5400"/>
              </w:tabs>
              <w:rPr>
                <w:bCs/>
                <w:sz w:val="20"/>
              </w:rPr>
            </w:pPr>
            <w:bookmarkStart w:id="27" w:name="bold14" w:colFirst="0" w:colLast="0"/>
            <w:bookmarkStart w:id="28" w:name="italic15" w:colFirst="0" w:colLast="0"/>
          </w:p>
        </w:tc>
        <w:tc>
          <w:tcPr>
            <w:tcW w:w="0" w:type="auto"/>
            <w:vMerge w:val="continue"/>
          </w:tcPr>
          <w:p w14:paraId="568C58F9">
            <w:pPr>
              <w:tabs>
                <w:tab w:val="left" w:pos="5400"/>
              </w:tabs>
              <w:jc w:val="center"/>
              <w:rPr>
                <w:sz w:val="20"/>
              </w:rPr>
            </w:pPr>
          </w:p>
        </w:tc>
        <w:tc>
          <w:tcPr>
            <w:tcW w:w="3825" w:type="dxa"/>
            <w:tcBorders>
              <w:right w:val="single" w:color="auto" w:sz="4" w:space="0"/>
            </w:tcBorders>
          </w:tcPr>
          <w:p w14:paraId="64A4DF90">
            <w:pPr>
              <w:tabs>
                <w:tab w:val="left" w:pos="5400"/>
              </w:tabs>
              <w:rPr>
                <w:sz w:val="20"/>
              </w:rPr>
            </w:pPr>
            <w:r>
              <w:rPr>
                <w:sz w:val="20"/>
              </w:rPr>
              <w:t>(</w:t>
            </w:r>
            <w:r>
              <w:rPr>
                <w:i/>
                <w:sz w:val="20"/>
              </w:rPr>
              <w:t>b</w:t>
            </w:r>
            <w:r>
              <w:rPr>
                <w:sz w:val="20"/>
              </w:rPr>
              <w:t>)</w:t>
            </w:r>
            <w:r>
              <w:rPr>
                <w:b/>
                <w:bCs/>
                <w:sz w:val="20"/>
              </w:rPr>
              <w:t xml:space="preserve"> </w:t>
            </w:r>
            <w:r>
              <w:rPr>
                <w:bCs/>
                <w:i/>
                <w:sz w:val="20"/>
              </w:rPr>
              <w:t>Cohort study</w:t>
            </w:r>
            <w:r>
              <w:rPr>
                <w:sz w:val="20"/>
              </w:rPr>
              <w:t>—For matched studies, give matching criteria and number of exposed and unexposed</w:t>
            </w:r>
          </w:p>
          <w:p w14:paraId="5D2D8E85">
            <w:pPr>
              <w:tabs>
                <w:tab w:val="left" w:pos="5400"/>
              </w:tabs>
              <w:rPr>
                <w:i/>
                <w:sz w:val="20"/>
              </w:rPr>
            </w:pPr>
            <w:r>
              <w:rPr>
                <w:bCs/>
                <w:i/>
                <w:sz w:val="20"/>
              </w:rPr>
              <w:t>Case-control study</w:t>
            </w:r>
            <w:r>
              <w:rPr>
                <w:sz w:val="20"/>
              </w:rPr>
              <w:t>—For matched studies, give matching criteria and the number of controls per case</w:t>
            </w:r>
          </w:p>
        </w:tc>
        <w:tc>
          <w:tcPr>
            <w:tcW w:w="3197" w:type="dxa"/>
            <w:tcBorders>
              <w:top w:val="single" w:color="auto" w:sz="4" w:space="0"/>
              <w:left w:val="single" w:color="auto" w:sz="4" w:space="0"/>
              <w:bottom w:val="single" w:color="auto" w:sz="4" w:space="0"/>
            </w:tcBorders>
          </w:tcPr>
          <w:p w14:paraId="19C5E231">
            <w:pPr>
              <w:tabs>
                <w:tab w:val="left" w:pos="5400"/>
              </w:tabs>
              <w:rPr>
                <w:sz w:val="20"/>
              </w:rPr>
            </w:pPr>
            <w:r>
              <w:rPr>
                <w:rFonts w:hint="eastAsia"/>
                <w:sz w:val="20"/>
              </w:rPr>
              <w:t>Not applicable (no matching).</w:t>
            </w:r>
          </w:p>
        </w:tc>
      </w:tr>
      <w:bookmarkEnd w:id="27"/>
      <w:bookmarkEnd w:id="28"/>
      <w:tr w14:paraId="41150DE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20FEADB">
            <w:pPr>
              <w:tabs>
                <w:tab w:val="left" w:pos="5400"/>
              </w:tabs>
              <w:rPr>
                <w:bCs/>
                <w:sz w:val="20"/>
              </w:rPr>
            </w:pPr>
            <w:bookmarkStart w:id="29" w:name="italic17" w:colFirst="0" w:colLast="0"/>
            <w:bookmarkStart w:id="30" w:name="bold16" w:colFirst="0" w:colLast="0"/>
            <w:r>
              <w:rPr>
                <w:bCs/>
                <w:sz w:val="20"/>
              </w:rPr>
              <w:t>Variables</w:t>
            </w:r>
          </w:p>
        </w:tc>
        <w:tc>
          <w:tcPr>
            <w:tcW w:w="0" w:type="auto"/>
          </w:tcPr>
          <w:p w14:paraId="06B79636">
            <w:pPr>
              <w:tabs>
                <w:tab w:val="left" w:pos="5400"/>
              </w:tabs>
              <w:jc w:val="center"/>
              <w:rPr>
                <w:sz w:val="20"/>
              </w:rPr>
            </w:pPr>
            <w:r>
              <w:rPr>
                <w:sz w:val="20"/>
              </w:rPr>
              <w:t>7</w:t>
            </w:r>
          </w:p>
        </w:tc>
        <w:tc>
          <w:tcPr>
            <w:tcW w:w="3825" w:type="dxa"/>
            <w:tcBorders>
              <w:right w:val="single" w:color="auto" w:sz="4" w:space="0"/>
            </w:tcBorders>
          </w:tcPr>
          <w:p w14:paraId="3B198967">
            <w:pPr>
              <w:tabs>
                <w:tab w:val="left" w:pos="5400"/>
              </w:tabs>
              <w:rPr>
                <w:sz w:val="20"/>
              </w:rPr>
            </w:pPr>
            <w:r>
              <w:rPr>
                <w:sz w:val="20"/>
              </w:rPr>
              <w:t>Clearly define all outcomes, exposures, predictors, potential confounders, and effect modifiers. Give diagnostic criteria, if applicable</w:t>
            </w:r>
          </w:p>
        </w:tc>
        <w:tc>
          <w:tcPr>
            <w:tcW w:w="3197" w:type="dxa"/>
            <w:tcBorders>
              <w:top w:val="single" w:color="auto" w:sz="4" w:space="0"/>
              <w:left w:val="single" w:color="auto" w:sz="4" w:space="0"/>
              <w:bottom w:val="single" w:color="auto" w:sz="4" w:space="0"/>
            </w:tcBorders>
          </w:tcPr>
          <w:p w14:paraId="0B939A0D">
            <w:pPr>
              <w:tabs>
                <w:tab w:val="left" w:pos="5400"/>
              </w:tabs>
              <w:rPr>
                <w:sz w:val="20"/>
              </w:rPr>
            </w:pPr>
            <w:r>
              <w:rPr>
                <w:rFonts w:hint="eastAsia"/>
                <w:sz w:val="20"/>
              </w:rPr>
              <w:t>Outcome: MYCN amplification (defined in Section 2.4 by FISH criteria). Exposures/predictors: PET/MRI parameters (SUVmax, SUVmean, SUVpeak, MTV, TLG, ADCmean, CV) and clinical variables (age, sex, site, IDRFs, INRG stage, necrosis, calcification, hemorrhage, mean diameter). Confounders not explicitly listed; multivariate regression adjusted for all variables with p&lt;0.05 in univariate analysis. (Pages 2–3)</w:t>
            </w:r>
          </w:p>
        </w:tc>
      </w:tr>
      <w:bookmarkEnd w:id="29"/>
      <w:bookmarkEnd w:id="30"/>
      <w:tr w14:paraId="591063E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94" w:hRule="atLeast"/>
        </w:trPr>
        <w:tc>
          <w:tcPr>
            <w:tcW w:w="0" w:type="auto"/>
          </w:tcPr>
          <w:p w14:paraId="5A502254">
            <w:pPr>
              <w:tabs>
                <w:tab w:val="left" w:pos="5400"/>
              </w:tabs>
              <w:rPr>
                <w:bCs/>
                <w:sz w:val="20"/>
              </w:rPr>
            </w:pPr>
            <w:bookmarkStart w:id="31" w:name="italic18"/>
            <w:bookmarkStart w:id="32" w:name="bold17"/>
            <w:r>
              <w:rPr>
                <w:bCs/>
                <w:sz w:val="20"/>
              </w:rPr>
              <w:t>Data sources/</w:t>
            </w:r>
            <w:bookmarkEnd w:id="31"/>
            <w:bookmarkEnd w:id="32"/>
            <w:bookmarkStart w:id="33" w:name="bold18"/>
            <w:bookmarkStart w:id="34" w:name="italic19"/>
            <w:r>
              <w:rPr>
                <w:bCs/>
                <w:sz w:val="20"/>
              </w:rPr>
              <w:t xml:space="preserve"> measurement</w:t>
            </w:r>
            <w:bookmarkEnd w:id="33"/>
            <w:bookmarkEnd w:id="34"/>
          </w:p>
        </w:tc>
        <w:tc>
          <w:tcPr>
            <w:tcW w:w="0" w:type="auto"/>
          </w:tcPr>
          <w:p w14:paraId="5567FFA9">
            <w:pPr>
              <w:tabs>
                <w:tab w:val="left" w:pos="5400"/>
              </w:tabs>
              <w:jc w:val="center"/>
              <w:rPr>
                <w:sz w:val="20"/>
              </w:rPr>
            </w:pPr>
            <w:r>
              <w:rPr>
                <w:sz w:val="20"/>
              </w:rPr>
              <w:t>8</w:t>
            </w:r>
            <w:bookmarkStart w:id="35" w:name="bold19"/>
            <w:r>
              <w:rPr>
                <w:bCs/>
                <w:sz w:val="20"/>
              </w:rPr>
              <w:t>*</w:t>
            </w:r>
            <w:bookmarkEnd w:id="35"/>
          </w:p>
        </w:tc>
        <w:tc>
          <w:tcPr>
            <w:tcW w:w="3825" w:type="dxa"/>
            <w:tcBorders>
              <w:right w:val="single" w:color="auto" w:sz="4" w:space="0"/>
            </w:tcBorders>
          </w:tcPr>
          <w:p w14:paraId="297467A1">
            <w:pPr>
              <w:tabs>
                <w:tab w:val="left" w:pos="5400"/>
              </w:tabs>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3197" w:type="dxa"/>
            <w:tcBorders>
              <w:top w:val="single" w:color="auto" w:sz="4" w:space="0"/>
              <w:left w:val="single" w:color="auto" w:sz="4" w:space="0"/>
              <w:bottom w:val="single" w:color="auto" w:sz="4" w:space="0"/>
            </w:tcBorders>
          </w:tcPr>
          <w:p w14:paraId="5EB82B65">
            <w:pPr>
              <w:tabs>
                <w:tab w:val="left" w:pos="5400"/>
              </w:tabs>
              <w:rPr>
                <w:i/>
                <w:sz w:val="20"/>
              </w:rPr>
            </w:pPr>
            <w:r>
              <w:rPr>
                <w:rFonts w:hint="eastAsia"/>
                <w:i w:val="0"/>
                <w:iCs/>
                <w:sz w:val="20"/>
              </w:rPr>
              <w:t>Section 2.2 (instruments: GE SIGNA 3.0T PET/MRI), Section 2.3 (data analysis: PET VCAR software, 40% fixed-threshold for MTV, manual ROI for ADCmean, criteria for necrosis, CV formula). Same methods applied to both groups. (Pages 2–3)</w:t>
            </w:r>
          </w:p>
        </w:tc>
      </w:tr>
      <w:tr w14:paraId="697FE3B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15DA21E9">
            <w:pPr>
              <w:tabs>
                <w:tab w:val="left" w:pos="5400"/>
              </w:tabs>
              <w:rPr>
                <w:bCs/>
                <w:color w:val="000000"/>
                <w:sz w:val="20"/>
              </w:rPr>
            </w:pPr>
            <w:bookmarkStart w:id="36" w:name="bold20" w:colFirst="0" w:colLast="0"/>
            <w:bookmarkStart w:id="37" w:name="italic20" w:colFirst="0" w:colLast="0"/>
            <w:r>
              <w:rPr>
                <w:bCs/>
                <w:color w:val="000000"/>
                <w:sz w:val="20"/>
              </w:rPr>
              <w:t>Bias</w:t>
            </w:r>
          </w:p>
        </w:tc>
        <w:tc>
          <w:tcPr>
            <w:tcW w:w="0" w:type="auto"/>
          </w:tcPr>
          <w:p w14:paraId="73EA5BE5">
            <w:pPr>
              <w:tabs>
                <w:tab w:val="left" w:pos="5400"/>
              </w:tabs>
              <w:jc w:val="center"/>
              <w:rPr>
                <w:sz w:val="20"/>
              </w:rPr>
            </w:pPr>
            <w:r>
              <w:rPr>
                <w:sz w:val="20"/>
              </w:rPr>
              <w:t>9</w:t>
            </w:r>
          </w:p>
        </w:tc>
        <w:tc>
          <w:tcPr>
            <w:tcW w:w="3825" w:type="dxa"/>
            <w:tcBorders>
              <w:right w:val="single" w:color="auto" w:sz="4" w:space="0"/>
            </w:tcBorders>
          </w:tcPr>
          <w:p w14:paraId="2E667FBC">
            <w:pPr>
              <w:tabs>
                <w:tab w:val="left" w:pos="5400"/>
              </w:tabs>
              <w:rPr>
                <w:color w:val="000000"/>
                <w:sz w:val="20"/>
              </w:rPr>
            </w:pPr>
            <w:r>
              <w:rPr>
                <w:color w:val="000000"/>
                <w:sz w:val="20"/>
              </w:rPr>
              <w:t>Describe any efforts to address potential sources of bias</w:t>
            </w:r>
          </w:p>
        </w:tc>
        <w:tc>
          <w:tcPr>
            <w:tcW w:w="3197" w:type="dxa"/>
            <w:tcBorders>
              <w:top w:val="single" w:color="auto" w:sz="4" w:space="0"/>
              <w:left w:val="single" w:color="auto" w:sz="4" w:space="0"/>
              <w:bottom w:val="single" w:color="auto" w:sz="4" w:space="0"/>
            </w:tcBorders>
          </w:tcPr>
          <w:p w14:paraId="3649B1AD">
            <w:pPr>
              <w:tabs>
                <w:tab w:val="left" w:pos="5400"/>
              </w:tabs>
              <w:rPr>
                <w:color w:val="000000"/>
                <w:sz w:val="20"/>
              </w:rPr>
            </w:pPr>
            <w:r>
              <w:rPr>
                <w:rFonts w:hint="eastAsia"/>
                <w:color w:val="000000"/>
                <w:sz w:val="20"/>
              </w:rPr>
              <w:t>Section 2.6: inter-observer agreement assessed by Kappa (qualitative) and ICC (quantitative) with thresholds ≥0.75. Retrospective design acknowledged in limitations. (Page 3 and Page 8)</w:t>
            </w:r>
          </w:p>
        </w:tc>
      </w:tr>
      <w:bookmarkEnd w:id="36"/>
      <w:bookmarkEnd w:id="37"/>
      <w:tr w14:paraId="19D4CB36">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E39D4FF">
            <w:pPr>
              <w:tabs>
                <w:tab w:val="left" w:pos="5400"/>
              </w:tabs>
              <w:rPr>
                <w:bCs/>
                <w:sz w:val="20"/>
              </w:rPr>
            </w:pPr>
            <w:bookmarkStart w:id="38" w:name="italic21" w:colFirst="0" w:colLast="0"/>
            <w:bookmarkStart w:id="39" w:name="bold21" w:colFirst="0" w:colLast="0"/>
            <w:r>
              <w:rPr>
                <w:bCs/>
                <w:sz w:val="20"/>
              </w:rPr>
              <w:t>Study size</w:t>
            </w:r>
          </w:p>
        </w:tc>
        <w:tc>
          <w:tcPr>
            <w:tcW w:w="0" w:type="auto"/>
          </w:tcPr>
          <w:p w14:paraId="53FCE749">
            <w:pPr>
              <w:tabs>
                <w:tab w:val="left" w:pos="5400"/>
              </w:tabs>
              <w:jc w:val="center"/>
              <w:rPr>
                <w:sz w:val="20"/>
              </w:rPr>
            </w:pPr>
            <w:r>
              <w:rPr>
                <w:sz w:val="20"/>
              </w:rPr>
              <w:t>10</w:t>
            </w:r>
          </w:p>
        </w:tc>
        <w:tc>
          <w:tcPr>
            <w:tcW w:w="3825" w:type="dxa"/>
            <w:tcBorders>
              <w:right w:val="single" w:color="auto" w:sz="4" w:space="0"/>
            </w:tcBorders>
          </w:tcPr>
          <w:p w14:paraId="215A7276">
            <w:pPr>
              <w:tabs>
                <w:tab w:val="left" w:pos="5400"/>
              </w:tabs>
              <w:rPr>
                <w:sz w:val="20"/>
              </w:rPr>
            </w:pPr>
            <w:r>
              <w:rPr>
                <w:sz w:val="20"/>
              </w:rPr>
              <w:t>Explain how the study size was arrived at</w:t>
            </w:r>
          </w:p>
        </w:tc>
        <w:tc>
          <w:tcPr>
            <w:tcW w:w="3197" w:type="dxa"/>
            <w:tcBorders>
              <w:top w:val="single" w:color="auto" w:sz="4" w:space="0"/>
              <w:left w:val="single" w:color="auto" w:sz="4" w:space="0"/>
              <w:bottom w:val="single" w:color="auto" w:sz="4" w:space="0"/>
            </w:tcBorders>
          </w:tcPr>
          <w:p w14:paraId="54B64417">
            <w:pPr>
              <w:tabs>
                <w:tab w:val="left" w:pos="5400"/>
              </w:tabs>
              <w:rPr>
                <w:sz w:val="20"/>
              </w:rPr>
            </w:pPr>
            <w:r>
              <w:rPr>
                <w:rFonts w:hint="eastAsia"/>
                <w:sz w:val="20"/>
              </w:rPr>
              <w:t>Not explicitly justified; appears to be a convenience sample of all eligible patients during the study period (121 cases). No sample size calculation provided. (Page 2)</w:t>
            </w:r>
          </w:p>
        </w:tc>
      </w:tr>
      <w:bookmarkEnd w:id="38"/>
      <w:bookmarkEnd w:id="39"/>
      <w:tr w14:paraId="6D18AC3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08B83B93">
            <w:pPr>
              <w:tabs>
                <w:tab w:val="left" w:pos="5400"/>
              </w:tabs>
              <w:rPr>
                <w:bCs/>
                <w:sz w:val="20"/>
              </w:rPr>
            </w:pPr>
            <w:bookmarkStart w:id="40" w:name="italic22"/>
            <w:bookmarkStart w:id="41" w:name="bold22"/>
            <w:r>
              <w:rPr>
                <w:bCs/>
                <w:sz w:val="20"/>
              </w:rPr>
              <w:t>Quantitative</w:t>
            </w:r>
            <w:bookmarkEnd w:id="40"/>
            <w:bookmarkEnd w:id="41"/>
            <w:bookmarkStart w:id="42" w:name="bold23"/>
            <w:bookmarkStart w:id="43" w:name="italic23"/>
            <w:r>
              <w:rPr>
                <w:bCs/>
                <w:sz w:val="20"/>
              </w:rPr>
              <w:t xml:space="preserve"> variables</w:t>
            </w:r>
            <w:bookmarkEnd w:id="42"/>
            <w:bookmarkEnd w:id="43"/>
          </w:p>
        </w:tc>
        <w:tc>
          <w:tcPr>
            <w:tcW w:w="0" w:type="auto"/>
          </w:tcPr>
          <w:p w14:paraId="4EC1F8A0">
            <w:pPr>
              <w:tabs>
                <w:tab w:val="left" w:pos="5400"/>
              </w:tabs>
              <w:jc w:val="center"/>
              <w:rPr>
                <w:sz w:val="20"/>
              </w:rPr>
            </w:pPr>
            <w:r>
              <w:rPr>
                <w:sz w:val="20"/>
              </w:rPr>
              <w:t>11</w:t>
            </w:r>
          </w:p>
        </w:tc>
        <w:tc>
          <w:tcPr>
            <w:tcW w:w="3825" w:type="dxa"/>
            <w:tcBorders>
              <w:right w:val="single" w:color="auto" w:sz="4" w:space="0"/>
            </w:tcBorders>
          </w:tcPr>
          <w:p w14:paraId="7822425B">
            <w:pPr>
              <w:tabs>
                <w:tab w:val="left" w:pos="5400"/>
              </w:tabs>
              <w:rPr>
                <w:sz w:val="20"/>
              </w:rPr>
            </w:pPr>
            <w:r>
              <w:rPr>
                <w:sz w:val="20"/>
              </w:rPr>
              <w:t>Explain how quantitative variables were handled in the analyses. If applicable, describe which groupings were chosen and why</w:t>
            </w:r>
          </w:p>
        </w:tc>
        <w:tc>
          <w:tcPr>
            <w:tcW w:w="3197" w:type="dxa"/>
            <w:tcBorders>
              <w:top w:val="single" w:color="auto" w:sz="4" w:space="0"/>
              <w:left w:val="single" w:color="auto" w:sz="4" w:space="0"/>
              <w:bottom w:val="single" w:color="auto" w:sz="4" w:space="0"/>
            </w:tcBorders>
          </w:tcPr>
          <w:p w14:paraId="163B202B">
            <w:pPr>
              <w:tabs>
                <w:tab w:val="left" w:pos="5400"/>
              </w:tabs>
              <w:rPr>
                <w:sz w:val="20"/>
              </w:rPr>
            </w:pPr>
            <w:r>
              <w:rPr>
                <w:rFonts w:hint="eastAsia"/>
                <w:sz w:val="20"/>
              </w:rPr>
              <w:t>Section 2.5: continuous variables compared using t-test or Mann-Whitney U; multivariate logistic regression with forward stepwise selection (likelihood ratio); optimal cut-offs determined by Youden index for ROC. Groupings (MNA vs MYCN-NA) based on FISH criteria (Section 2.4). (Page 3)</w:t>
            </w:r>
          </w:p>
        </w:tc>
      </w:tr>
      <w:tr w14:paraId="62E7ED5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4A8910ED">
            <w:pPr>
              <w:tabs>
                <w:tab w:val="left" w:pos="5400"/>
              </w:tabs>
              <w:rPr>
                <w:sz w:val="20"/>
              </w:rPr>
            </w:pPr>
            <w:bookmarkStart w:id="44" w:name="italic24"/>
            <w:r>
              <w:rPr>
                <w:sz w:val="20"/>
              </w:rPr>
              <w:t>Statistical</w:t>
            </w:r>
            <w:bookmarkEnd w:id="44"/>
            <w:bookmarkStart w:id="45" w:name="italic25"/>
            <w:r>
              <w:rPr>
                <w:sz w:val="20"/>
              </w:rPr>
              <w:t xml:space="preserve"> methods</w:t>
            </w:r>
            <w:bookmarkEnd w:id="45"/>
          </w:p>
        </w:tc>
        <w:tc>
          <w:tcPr>
            <w:tcW w:w="0" w:type="auto"/>
            <w:vMerge w:val="restart"/>
          </w:tcPr>
          <w:p w14:paraId="59F2D75D">
            <w:pPr>
              <w:tabs>
                <w:tab w:val="left" w:pos="5400"/>
              </w:tabs>
              <w:jc w:val="center"/>
              <w:rPr>
                <w:sz w:val="20"/>
              </w:rPr>
            </w:pPr>
            <w:r>
              <w:rPr>
                <w:sz w:val="20"/>
              </w:rPr>
              <w:t>12</w:t>
            </w:r>
          </w:p>
        </w:tc>
        <w:tc>
          <w:tcPr>
            <w:tcW w:w="3825" w:type="dxa"/>
            <w:tcBorders>
              <w:right w:val="single" w:color="auto" w:sz="4" w:space="0"/>
            </w:tcBorders>
          </w:tcPr>
          <w:p w14:paraId="1847A2F3">
            <w:pPr>
              <w:tabs>
                <w:tab w:val="left" w:pos="5400"/>
              </w:tabs>
              <w:rPr>
                <w:sz w:val="20"/>
              </w:rPr>
            </w:pPr>
            <w:r>
              <w:rPr>
                <w:sz w:val="20"/>
              </w:rPr>
              <w:t>(</w:t>
            </w:r>
            <w:r>
              <w:rPr>
                <w:i/>
                <w:sz w:val="20"/>
              </w:rPr>
              <w:t>a</w:t>
            </w:r>
            <w:r>
              <w:rPr>
                <w:sz w:val="20"/>
              </w:rPr>
              <w:t>) Describe all statistical methods, including those used to control for confounding</w:t>
            </w:r>
          </w:p>
        </w:tc>
        <w:tc>
          <w:tcPr>
            <w:tcW w:w="3197" w:type="dxa"/>
            <w:tcBorders>
              <w:top w:val="single" w:color="auto" w:sz="4" w:space="0"/>
              <w:left w:val="single" w:color="auto" w:sz="4" w:space="0"/>
              <w:bottom w:val="single" w:color="auto" w:sz="4" w:space="0"/>
            </w:tcBorders>
          </w:tcPr>
          <w:p w14:paraId="6F8F6226">
            <w:pPr>
              <w:tabs>
                <w:tab w:val="left" w:pos="5400"/>
              </w:tabs>
              <w:rPr>
                <w:sz w:val="20"/>
              </w:rPr>
            </w:pPr>
            <w:r>
              <w:rPr>
                <w:rFonts w:hint="eastAsia"/>
                <w:sz w:val="20"/>
              </w:rPr>
              <w:t>Section 2.5: logistic regression with forward stepwise selection (likelihood ratio) to adjust for confounders. Variables with p&lt;0.05 in univariate analysis entered into multivariate model. Hosmer-Lemeshow test for model fit. (Page 3)</w:t>
            </w:r>
          </w:p>
        </w:tc>
      </w:tr>
      <w:tr w14:paraId="1DE26DB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667AF048">
            <w:pPr>
              <w:tabs>
                <w:tab w:val="left" w:pos="5400"/>
              </w:tabs>
              <w:rPr>
                <w:bCs/>
                <w:sz w:val="20"/>
              </w:rPr>
            </w:pPr>
            <w:bookmarkStart w:id="46" w:name="italic26" w:colFirst="0" w:colLast="0"/>
            <w:bookmarkStart w:id="47" w:name="bold24" w:colFirst="0" w:colLast="0"/>
          </w:p>
        </w:tc>
        <w:tc>
          <w:tcPr>
            <w:tcW w:w="0" w:type="auto"/>
            <w:vMerge w:val="continue"/>
          </w:tcPr>
          <w:p w14:paraId="6F2F4F5E">
            <w:pPr>
              <w:tabs>
                <w:tab w:val="left" w:pos="5400"/>
              </w:tabs>
              <w:jc w:val="center"/>
              <w:rPr>
                <w:sz w:val="20"/>
              </w:rPr>
            </w:pPr>
          </w:p>
        </w:tc>
        <w:tc>
          <w:tcPr>
            <w:tcW w:w="3825" w:type="dxa"/>
            <w:tcBorders>
              <w:right w:val="single" w:color="auto" w:sz="4" w:space="0"/>
            </w:tcBorders>
          </w:tcPr>
          <w:p w14:paraId="7182A182">
            <w:pPr>
              <w:tabs>
                <w:tab w:val="left" w:pos="5400"/>
              </w:tabs>
              <w:rPr>
                <w:sz w:val="20"/>
              </w:rPr>
            </w:pPr>
            <w:r>
              <w:rPr>
                <w:sz w:val="20"/>
              </w:rPr>
              <w:t>(</w:t>
            </w:r>
            <w:r>
              <w:rPr>
                <w:i/>
                <w:sz w:val="20"/>
              </w:rPr>
              <w:t>b</w:t>
            </w:r>
            <w:r>
              <w:rPr>
                <w:sz w:val="20"/>
              </w:rPr>
              <w:t>) Describe any methods used to examine subgroups and interactions</w:t>
            </w:r>
          </w:p>
        </w:tc>
        <w:tc>
          <w:tcPr>
            <w:tcW w:w="3197" w:type="dxa"/>
            <w:tcBorders>
              <w:top w:val="single" w:color="auto" w:sz="4" w:space="0"/>
              <w:left w:val="single" w:color="auto" w:sz="4" w:space="0"/>
              <w:bottom w:val="single" w:color="auto" w:sz="4" w:space="0"/>
            </w:tcBorders>
          </w:tcPr>
          <w:p w14:paraId="622F131C">
            <w:pPr>
              <w:tabs>
                <w:tab w:val="left" w:pos="5400"/>
              </w:tabs>
              <w:rPr>
                <w:sz w:val="20"/>
              </w:rPr>
            </w:pPr>
            <w:r>
              <w:rPr>
                <w:rFonts w:hint="eastAsia"/>
                <w:sz w:val="20"/>
              </w:rPr>
              <w:t>No subgroup or interaction analyses reported.</w:t>
            </w:r>
          </w:p>
        </w:tc>
      </w:tr>
      <w:bookmarkEnd w:id="46"/>
      <w:bookmarkEnd w:id="47"/>
      <w:tr w14:paraId="512C1E5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7C651A6F">
            <w:pPr>
              <w:tabs>
                <w:tab w:val="left" w:pos="5400"/>
              </w:tabs>
              <w:rPr>
                <w:bCs/>
                <w:sz w:val="20"/>
              </w:rPr>
            </w:pPr>
            <w:bookmarkStart w:id="48" w:name="bold25" w:colFirst="0" w:colLast="0"/>
            <w:bookmarkStart w:id="49" w:name="italic27" w:colFirst="0" w:colLast="0"/>
          </w:p>
        </w:tc>
        <w:tc>
          <w:tcPr>
            <w:tcW w:w="0" w:type="auto"/>
            <w:vMerge w:val="continue"/>
          </w:tcPr>
          <w:p w14:paraId="422BA38D">
            <w:pPr>
              <w:tabs>
                <w:tab w:val="left" w:pos="5400"/>
              </w:tabs>
              <w:jc w:val="center"/>
              <w:rPr>
                <w:sz w:val="20"/>
              </w:rPr>
            </w:pPr>
          </w:p>
        </w:tc>
        <w:tc>
          <w:tcPr>
            <w:tcW w:w="3825" w:type="dxa"/>
            <w:tcBorders>
              <w:right w:val="single" w:color="auto" w:sz="4" w:space="0"/>
            </w:tcBorders>
          </w:tcPr>
          <w:p w14:paraId="2E814E4A">
            <w:pPr>
              <w:tabs>
                <w:tab w:val="left" w:pos="5400"/>
              </w:tabs>
              <w:rPr>
                <w:sz w:val="20"/>
              </w:rPr>
            </w:pPr>
            <w:r>
              <w:rPr>
                <w:sz w:val="20"/>
              </w:rPr>
              <w:t>(</w:t>
            </w:r>
            <w:r>
              <w:rPr>
                <w:i/>
                <w:sz w:val="20"/>
              </w:rPr>
              <w:t>c</w:t>
            </w:r>
            <w:r>
              <w:rPr>
                <w:sz w:val="20"/>
              </w:rPr>
              <w:t>) Explain how missing data were addressed</w:t>
            </w:r>
          </w:p>
        </w:tc>
        <w:tc>
          <w:tcPr>
            <w:tcW w:w="3197" w:type="dxa"/>
            <w:tcBorders>
              <w:top w:val="single" w:color="auto" w:sz="4" w:space="0"/>
              <w:left w:val="single" w:color="auto" w:sz="4" w:space="0"/>
              <w:bottom w:val="single" w:color="auto" w:sz="4" w:space="0"/>
            </w:tcBorders>
          </w:tcPr>
          <w:p w14:paraId="0CE92F08">
            <w:pPr>
              <w:tabs>
                <w:tab w:val="left" w:pos="5400"/>
              </w:tabs>
              <w:rPr>
                <w:sz w:val="20"/>
              </w:rPr>
            </w:pPr>
            <w:r>
              <w:rPr>
                <w:rFonts w:hint="eastAsia"/>
                <w:sz w:val="20"/>
              </w:rPr>
              <w:t>No missing data mentioned; likely complete case analysis (implied by exclusion criteria).</w:t>
            </w:r>
          </w:p>
        </w:tc>
      </w:tr>
      <w:bookmarkEnd w:id="48"/>
      <w:bookmarkEnd w:id="49"/>
      <w:tr w14:paraId="1915E0F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59AEA14C">
            <w:pPr>
              <w:tabs>
                <w:tab w:val="left" w:pos="5400"/>
              </w:tabs>
              <w:rPr>
                <w:bCs/>
                <w:sz w:val="20"/>
              </w:rPr>
            </w:pPr>
            <w:bookmarkStart w:id="50" w:name="italic28" w:colFirst="0" w:colLast="0"/>
            <w:bookmarkStart w:id="51" w:name="bold26" w:colFirst="0" w:colLast="0"/>
          </w:p>
        </w:tc>
        <w:tc>
          <w:tcPr>
            <w:tcW w:w="0" w:type="auto"/>
            <w:vMerge w:val="continue"/>
          </w:tcPr>
          <w:p w14:paraId="4B6D7D40">
            <w:pPr>
              <w:tabs>
                <w:tab w:val="left" w:pos="5400"/>
              </w:tabs>
              <w:jc w:val="center"/>
              <w:rPr>
                <w:sz w:val="20"/>
              </w:rPr>
            </w:pPr>
          </w:p>
        </w:tc>
        <w:tc>
          <w:tcPr>
            <w:tcW w:w="3825" w:type="dxa"/>
            <w:tcBorders>
              <w:right w:val="single" w:color="auto" w:sz="4" w:space="0"/>
            </w:tcBorders>
          </w:tcPr>
          <w:p w14:paraId="7F044D29">
            <w:pPr>
              <w:tabs>
                <w:tab w:val="left" w:pos="5400"/>
              </w:tabs>
              <w:rPr>
                <w:sz w:val="20"/>
              </w:rPr>
            </w:pPr>
            <w:r>
              <w:rPr>
                <w:sz w:val="20"/>
              </w:rPr>
              <w:t>(</w:t>
            </w:r>
            <w:r>
              <w:rPr>
                <w:i/>
                <w:sz w:val="20"/>
              </w:rPr>
              <w:t>d</w:t>
            </w:r>
            <w:r>
              <w:rPr>
                <w:sz w:val="20"/>
              </w:rPr>
              <w:t xml:space="preserve">) </w:t>
            </w:r>
            <w:r>
              <w:rPr>
                <w:bCs/>
                <w:i/>
                <w:sz w:val="20"/>
              </w:rPr>
              <w:t>Cohort study</w:t>
            </w:r>
            <w:r>
              <w:rPr>
                <w:sz w:val="20"/>
              </w:rPr>
              <w:t>—If applicable, explain how loss to follow-up was addressed</w:t>
            </w:r>
          </w:p>
          <w:p w14:paraId="76E0310B">
            <w:pPr>
              <w:tabs>
                <w:tab w:val="left" w:pos="5400"/>
              </w:tabs>
              <w:rPr>
                <w:sz w:val="20"/>
              </w:rPr>
            </w:pPr>
            <w:r>
              <w:rPr>
                <w:bCs/>
                <w:i/>
                <w:sz w:val="20"/>
              </w:rPr>
              <w:t>Case-control study</w:t>
            </w:r>
            <w:r>
              <w:rPr>
                <w:sz w:val="20"/>
              </w:rPr>
              <w:t>—If applicable, explain how matching of cases and controls was addressed</w:t>
            </w:r>
          </w:p>
          <w:p w14:paraId="79F742CC">
            <w:pPr>
              <w:tabs>
                <w:tab w:val="left" w:pos="5400"/>
              </w:tabs>
              <w:rPr>
                <w:sz w:val="20"/>
              </w:rPr>
            </w:pPr>
            <w:r>
              <w:rPr>
                <w:bCs/>
                <w:i/>
                <w:sz w:val="20"/>
              </w:rPr>
              <w:t>Cross-sectional study</w:t>
            </w:r>
            <w:r>
              <w:rPr>
                <w:sz w:val="20"/>
              </w:rPr>
              <w:t>—If applicable, describe analytical methods taking account of sampling strategy</w:t>
            </w:r>
          </w:p>
        </w:tc>
        <w:tc>
          <w:tcPr>
            <w:tcW w:w="3197" w:type="dxa"/>
            <w:tcBorders>
              <w:top w:val="single" w:color="auto" w:sz="4" w:space="0"/>
              <w:left w:val="single" w:color="auto" w:sz="4" w:space="0"/>
              <w:bottom w:val="single" w:color="auto" w:sz="4" w:space="0"/>
            </w:tcBorders>
          </w:tcPr>
          <w:p w14:paraId="742B7C8D">
            <w:pPr>
              <w:tabs>
                <w:tab w:val="left" w:pos="5400"/>
              </w:tabs>
              <w:rPr>
                <w:sz w:val="20"/>
              </w:rPr>
            </w:pPr>
            <w:r>
              <w:rPr>
                <w:rFonts w:hint="eastAsia"/>
                <w:sz w:val="20"/>
              </w:rPr>
              <w:t>Not applicable (no follow-up).</w:t>
            </w:r>
          </w:p>
        </w:tc>
      </w:tr>
      <w:bookmarkEnd w:id="50"/>
      <w:bookmarkEnd w:id="51"/>
      <w:tr w14:paraId="43F7C1F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17CD7D72">
            <w:pPr>
              <w:tabs>
                <w:tab w:val="left" w:pos="5400"/>
              </w:tabs>
              <w:rPr>
                <w:bCs/>
                <w:sz w:val="20"/>
              </w:rPr>
            </w:pPr>
            <w:bookmarkStart w:id="52" w:name="bold27" w:colFirst="0" w:colLast="0"/>
            <w:bookmarkStart w:id="53" w:name="italic29" w:colFirst="0" w:colLast="0"/>
          </w:p>
        </w:tc>
        <w:tc>
          <w:tcPr>
            <w:tcW w:w="0" w:type="auto"/>
            <w:vMerge w:val="continue"/>
          </w:tcPr>
          <w:p w14:paraId="7960076D">
            <w:pPr>
              <w:tabs>
                <w:tab w:val="left" w:pos="5400"/>
              </w:tabs>
              <w:jc w:val="center"/>
              <w:rPr>
                <w:sz w:val="20"/>
              </w:rPr>
            </w:pPr>
          </w:p>
        </w:tc>
        <w:tc>
          <w:tcPr>
            <w:tcW w:w="3825" w:type="dxa"/>
            <w:tcBorders>
              <w:right w:val="single" w:color="auto" w:sz="4" w:space="0"/>
            </w:tcBorders>
          </w:tcPr>
          <w:p w14:paraId="1EE4CEE2">
            <w:pPr>
              <w:tabs>
                <w:tab w:val="left" w:pos="5400"/>
              </w:tabs>
              <w:rPr>
                <w:sz w:val="20"/>
              </w:rPr>
            </w:pPr>
            <w:r>
              <w:rPr>
                <w:sz w:val="20"/>
              </w:rPr>
              <w:t>(</w:t>
            </w:r>
            <w:r>
              <w:rPr>
                <w:i/>
                <w:sz w:val="20"/>
                <w:u w:val="single"/>
              </w:rPr>
              <w:t>e</w:t>
            </w:r>
            <w:r>
              <w:rPr>
                <w:sz w:val="20"/>
              </w:rPr>
              <w:t>) Describe any sensitivity analyses</w:t>
            </w:r>
          </w:p>
        </w:tc>
        <w:tc>
          <w:tcPr>
            <w:tcW w:w="3197" w:type="dxa"/>
            <w:tcBorders>
              <w:top w:val="single" w:color="auto" w:sz="4" w:space="0"/>
              <w:left w:val="single" w:color="auto" w:sz="4" w:space="0"/>
              <w:bottom w:val="nil"/>
            </w:tcBorders>
          </w:tcPr>
          <w:p w14:paraId="37832215">
            <w:pPr>
              <w:tabs>
                <w:tab w:val="left" w:pos="5400"/>
              </w:tabs>
              <w:rPr>
                <w:sz w:val="20"/>
              </w:rPr>
            </w:pPr>
            <w:r>
              <w:rPr>
                <w:rFonts w:hint="eastAsia"/>
                <w:sz w:val="20"/>
              </w:rPr>
              <w:t>None reported.</w:t>
            </w:r>
          </w:p>
        </w:tc>
      </w:tr>
      <w:bookmarkEnd w:id="52"/>
      <w:bookmarkEnd w:id="53"/>
    </w:tbl>
    <w:p w14:paraId="4362BD68">
      <w:pPr>
        <w:rPr>
          <w:sz w:val="16"/>
          <w:szCs w:val="16"/>
        </w:rPr>
      </w:pPr>
      <w:bookmarkStart w:id="54" w:name="italic30"/>
      <w:bookmarkStart w:id="55" w:name="bold28"/>
      <w:r>
        <w:rPr>
          <w:sz w:val="16"/>
          <w:szCs w:val="16"/>
        </w:rPr>
        <w:t>Continued on next page</w:t>
      </w:r>
      <w:r>
        <w:rPr>
          <w:sz w:val="16"/>
          <w:szCs w:val="16"/>
        </w:rPr>
        <w:br w:type="page"/>
      </w:r>
    </w:p>
    <w:bookmarkEnd w:id="54"/>
    <w:bookmarkEnd w:id="55"/>
    <w:tbl>
      <w:tblPr>
        <w:tblStyle w:val="75"/>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505"/>
        <w:gridCol w:w="516"/>
        <w:gridCol w:w="4985"/>
        <w:gridCol w:w="2851"/>
      </w:tblGrid>
      <w:tr w14:paraId="0D8AA81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2C34610F">
            <w:pPr>
              <w:pStyle w:val="168"/>
              <w:tabs>
                <w:tab w:val="left" w:pos="5400"/>
              </w:tabs>
              <w:rPr>
                <w:sz w:val="20"/>
              </w:rPr>
            </w:pPr>
            <w:r>
              <w:rPr>
                <w:sz w:val="20"/>
              </w:rPr>
              <w:t>Results</w:t>
            </w:r>
          </w:p>
        </w:tc>
      </w:tr>
      <w:tr w14:paraId="5F20372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723A2351">
            <w:pPr>
              <w:tabs>
                <w:tab w:val="left" w:pos="5400"/>
              </w:tabs>
              <w:rPr>
                <w:bCs/>
                <w:sz w:val="20"/>
              </w:rPr>
            </w:pPr>
            <w:bookmarkStart w:id="56" w:name="bold29"/>
            <w:bookmarkStart w:id="57" w:name="italic31"/>
            <w:r>
              <w:rPr>
                <w:bCs/>
                <w:sz w:val="20"/>
              </w:rPr>
              <w:t>Participants</w:t>
            </w:r>
            <w:bookmarkEnd w:id="56"/>
            <w:bookmarkEnd w:id="57"/>
          </w:p>
        </w:tc>
        <w:tc>
          <w:tcPr>
            <w:tcW w:w="0" w:type="auto"/>
            <w:vMerge w:val="restart"/>
          </w:tcPr>
          <w:p w14:paraId="1C90DCBB">
            <w:pPr>
              <w:tabs>
                <w:tab w:val="left" w:pos="5400"/>
              </w:tabs>
              <w:jc w:val="center"/>
              <w:rPr>
                <w:sz w:val="20"/>
              </w:rPr>
            </w:pPr>
            <w:r>
              <w:rPr>
                <w:sz w:val="20"/>
              </w:rPr>
              <w:t>13</w:t>
            </w:r>
            <w:bookmarkStart w:id="58" w:name="bold30"/>
            <w:r>
              <w:rPr>
                <w:bCs/>
                <w:sz w:val="20"/>
              </w:rPr>
              <w:t>*</w:t>
            </w:r>
            <w:bookmarkEnd w:id="58"/>
          </w:p>
        </w:tc>
        <w:tc>
          <w:tcPr>
            <w:tcW w:w="4985" w:type="dxa"/>
            <w:tcBorders>
              <w:right w:val="single" w:color="auto" w:sz="4" w:space="0"/>
            </w:tcBorders>
          </w:tcPr>
          <w:p w14:paraId="62227AE1">
            <w:pPr>
              <w:tabs>
                <w:tab w:val="left" w:pos="5400"/>
              </w:tabs>
              <w:rPr>
                <w:sz w:val="20"/>
              </w:rPr>
            </w:pPr>
            <w:r>
              <w:rPr>
                <w:sz w:val="20"/>
              </w:rPr>
              <w:t>(a) Report numbers of individuals at each stage of study—eg numbers potentially eligible, examined for eligibility, confirmed eligible, included in the study, completing follow-up, and analysed</w:t>
            </w:r>
          </w:p>
        </w:tc>
        <w:tc>
          <w:tcPr>
            <w:tcW w:w="2851" w:type="dxa"/>
            <w:tcBorders>
              <w:top w:val="single" w:color="auto" w:sz="4" w:space="0"/>
              <w:left w:val="single" w:color="auto" w:sz="4" w:space="0"/>
              <w:bottom w:val="single" w:color="auto" w:sz="4" w:space="0"/>
            </w:tcBorders>
          </w:tcPr>
          <w:p w14:paraId="5C83BBFE">
            <w:pPr>
              <w:tabs>
                <w:tab w:val="left" w:pos="5400"/>
              </w:tabs>
              <w:rPr>
                <w:sz w:val="20"/>
              </w:rPr>
            </w:pPr>
            <w:r>
              <w:rPr>
                <w:rFonts w:hint="eastAsia"/>
                <w:sz w:val="20"/>
              </w:rPr>
              <w:t>Section 3.1: 121 HR-NB patients included (49 MNA, 72 non-amplified). No flow diagram. Numbers screened/eligible/excluded not reported. (Page 3)</w:t>
            </w:r>
          </w:p>
        </w:tc>
      </w:tr>
      <w:tr w14:paraId="5C7679C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67777FB8">
            <w:pPr>
              <w:tabs>
                <w:tab w:val="left" w:pos="5400"/>
              </w:tabs>
              <w:rPr>
                <w:bCs/>
                <w:sz w:val="20"/>
              </w:rPr>
            </w:pPr>
            <w:bookmarkStart w:id="59" w:name="italic32" w:colFirst="0" w:colLast="0"/>
            <w:bookmarkStart w:id="60" w:name="bold31" w:colFirst="0" w:colLast="0"/>
          </w:p>
        </w:tc>
        <w:tc>
          <w:tcPr>
            <w:tcW w:w="0" w:type="auto"/>
            <w:vMerge w:val="continue"/>
          </w:tcPr>
          <w:p w14:paraId="3024B5F1">
            <w:pPr>
              <w:tabs>
                <w:tab w:val="left" w:pos="5400"/>
              </w:tabs>
              <w:jc w:val="center"/>
              <w:rPr>
                <w:sz w:val="20"/>
              </w:rPr>
            </w:pPr>
          </w:p>
        </w:tc>
        <w:tc>
          <w:tcPr>
            <w:tcW w:w="4985" w:type="dxa"/>
            <w:tcBorders>
              <w:right w:val="single" w:color="auto" w:sz="4" w:space="0"/>
            </w:tcBorders>
          </w:tcPr>
          <w:p w14:paraId="7B255753">
            <w:pPr>
              <w:tabs>
                <w:tab w:val="left" w:pos="5400"/>
              </w:tabs>
              <w:rPr>
                <w:sz w:val="20"/>
              </w:rPr>
            </w:pPr>
            <w:r>
              <w:rPr>
                <w:sz w:val="20"/>
              </w:rPr>
              <w:t>(b) Give reasons for non-participation at each stage</w:t>
            </w:r>
          </w:p>
        </w:tc>
        <w:tc>
          <w:tcPr>
            <w:tcW w:w="2851" w:type="dxa"/>
            <w:tcBorders>
              <w:top w:val="single" w:color="auto" w:sz="4" w:space="0"/>
              <w:left w:val="single" w:color="auto" w:sz="4" w:space="0"/>
              <w:bottom w:val="single" w:color="auto" w:sz="4" w:space="0"/>
            </w:tcBorders>
          </w:tcPr>
          <w:p w14:paraId="2FE5EA8A">
            <w:pPr>
              <w:tabs>
                <w:tab w:val="left" w:pos="5400"/>
              </w:tabs>
              <w:rPr>
                <w:sz w:val="20"/>
              </w:rPr>
            </w:pPr>
            <w:r>
              <w:rPr>
                <w:rFonts w:hint="eastAsia"/>
                <w:sz w:val="20"/>
              </w:rPr>
              <w:t>Not reported.</w:t>
            </w:r>
          </w:p>
        </w:tc>
      </w:tr>
      <w:bookmarkEnd w:id="59"/>
      <w:bookmarkEnd w:id="60"/>
      <w:tr w14:paraId="6AAD382E">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D703425">
            <w:pPr>
              <w:tabs>
                <w:tab w:val="left" w:pos="5400"/>
              </w:tabs>
              <w:rPr>
                <w:bCs/>
                <w:sz w:val="20"/>
              </w:rPr>
            </w:pPr>
            <w:bookmarkStart w:id="61" w:name="italic33" w:colFirst="0" w:colLast="0"/>
            <w:bookmarkStart w:id="62" w:name="bold32" w:colFirst="0" w:colLast="0"/>
          </w:p>
        </w:tc>
        <w:tc>
          <w:tcPr>
            <w:tcW w:w="0" w:type="auto"/>
            <w:vMerge w:val="continue"/>
          </w:tcPr>
          <w:p w14:paraId="60D754E7">
            <w:pPr>
              <w:tabs>
                <w:tab w:val="left" w:pos="5400"/>
              </w:tabs>
              <w:jc w:val="center"/>
              <w:rPr>
                <w:sz w:val="20"/>
              </w:rPr>
            </w:pPr>
          </w:p>
        </w:tc>
        <w:tc>
          <w:tcPr>
            <w:tcW w:w="4985" w:type="dxa"/>
            <w:tcBorders>
              <w:right w:val="single" w:color="auto" w:sz="4" w:space="0"/>
            </w:tcBorders>
          </w:tcPr>
          <w:p w14:paraId="2AE145AA">
            <w:pPr>
              <w:tabs>
                <w:tab w:val="left" w:pos="5400"/>
              </w:tabs>
              <w:rPr>
                <w:sz w:val="20"/>
              </w:rPr>
            </w:pPr>
            <w:bookmarkStart w:id="63" w:name="OLE_LINK4"/>
            <w:r>
              <w:rPr>
                <w:sz w:val="20"/>
              </w:rPr>
              <w:t>(c) Consider use of a flow diagram</w:t>
            </w:r>
            <w:bookmarkEnd w:id="63"/>
          </w:p>
        </w:tc>
        <w:tc>
          <w:tcPr>
            <w:tcW w:w="2851" w:type="dxa"/>
            <w:tcBorders>
              <w:top w:val="single" w:color="auto" w:sz="4" w:space="0"/>
              <w:left w:val="single" w:color="auto" w:sz="4" w:space="0"/>
              <w:bottom w:val="single" w:color="auto" w:sz="4" w:space="0"/>
            </w:tcBorders>
          </w:tcPr>
          <w:p w14:paraId="017D589B">
            <w:pPr>
              <w:tabs>
                <w:tab w:val="left" w:pos="5400"/>
              </w:tabs>
              <w:rPr>
                <w:sz w:val="20"/>
              </w:rPr>
            </w:pPr>
            <w:r>
              <w:rPr>
                <w:rFonts w:hint="eastAsia"/>
                <w:sz w:val="20"/>
              </w:rPr>
              <w:t>Not provided.</w:t>
            </w:r>
          </w:p>
        </w:tc>
      </w:tr>
      <w:bookmarkEnd w:id="61"/>
      <w:bookmarkEnd w:id="62"/>
      <w:tr w14:paraId="5A294F0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37BBB18E">
            <w:pPr>
              <w:tabs>
                <w:tab w:val="left" w:pos="5400"/>
              </w:tabs>
              <w:rPr>
                <w:bCs/>
                <w:sz w:val="20"/>
              </w:rPr>
            </w:pPr>
            <w:bookmarkStart w:id="64" w:name="italic34"/>
            <w:bookmarkStart w:id="65" w:name="bold33"/>
            <w:r>
              <w:rPr>
                <w:bCs/>
                <w:sz w:val="20"/>
              </w:rPr>
              <w:t xml:space="preserve">Descriptive </w:t>
            </w:r>
            <w:bookmarkEnd w:id="64"/>
            <w:bookmarkEnd w:id="65"/>
            <w:bookmarkStart w:id="66" w:name="italic35"/>
            <w:bookmarkStart w:id="67" w:name="bold34"/>
            <w:r>
              <w:rPr>
                <w:bCs/>
                <w:sz w:val="20"/>
              </w:rPr>
              <w:t>data</w:t>
            </w:r>
            <w:bookmarkEnd w:id="66"/>
            <w:bookmarkEnd w:id="67"/>
          </w:p>
        </w:tc>
        <w:tc>
          <w:tcPr>
            <w:tcW w:w="0" w:type="auto"/>
            <w:vMerge w:val="restart"/>
          </w:tcPr>
          <w:p w14:paraId="75F92407">
            <w:pPr>
              <w:tabs>
                <w:tab w:val="left" w:pos="5400"/>
              </w:tabs>
              <w:jc w:val="center"/>
              <w:rPr>
                <w:sz w:val="20"/>
              </w:rPr>
            </w:pPr>
            <w:r>
              <w:rPr>
                <w:sz w:val="20"/>
              </w:rPr>
              <w:t>14</w:t>
            </w:r>
            <w:bookmarkStart w:id="68" w:name="bold35"/>
            <w:r>
              <w:rPr>
                <w:bCs/>
                <w:sz w:val="20"/>
              </w:rPr>
              <w:t>*</w:t>
            </w:r>
            <w:bookmarkEnd w:id="68"/>
          </w:p>
        </w:tc>
        <w:tc>
          <w:tcPr>
            <w:tcW w:w="4985" w:type="dxa"/>
            <w:tcBorders>
              <w:right w:val="single" w:color="auto" w:sz="4" w:space="0"/>
            </w:tcBorders>
          </w:tcPr>
          <w:p w14:paraId="772765E0">
            <w:pPr>
              <w:tabs>
                <w:tab w:val="left" w:pos="5400"/>
              </w:tabs>
              <w:rPr>
                <w:sz w:val="20"/>
              </w:rPr>
            </w:pPr>
            <w:r>
              <w:rPr>
                <w:sz w:val="20"/>
              </w:rPr>
              <w:t>(a) Give characteristics of study participants (eg demographic, clinical, social) and information on exposures and potential confounders</w:t>
            </w:r>
          </w:p>
        </w:tc>
        <w:tc>
          <w:tcPr>
            <w:tcW w:w="2851" w:type="dxa"/>
            <w:tcBorders>
              <w:top w:val="single" w:color="auto" w:sz="4" w:space="0"/>
              <w:left w:val="single" w:color="auto" w:sz="4" w:space="0"/>
              <w:bottom w:val="single" w:color="auto" w:sz="4" w:space="0"/>
            </w:tcBorders>
          </w:tcPr>
          <w:p w14:paraId="51A4E295">
            <w:pPr>
              <w:tabs>
                <w:tab w:val="left" w:pos="5400"/>
              </w:tabs>
              <w:rPr>
                <w:sz w:val="20"/>
              </w:rPr>
            </w:pPr>
            <w:r>
              <w:rPr>
                <w:rFonts w:hint="eastAsia"/>
                <w:sz w:val="20"/>
              </w:rPr>
              <w:t>Section 3.1 and Table 1, Table 2: age, sex, tumor location, IDRFs, INRG stage, necrosis, hemorrhage, mean diameter, SUVmax, SUVmean, MTV, TLG, ADCmean. (Pages 3–4)</w:t>
            </w:r>
          </w:p>
        </w:tc>
      </w:tr>
      <w:tr w14:paraId="501B7ED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BD60CC3">
            <w:pPr>
              <w:tabs>
                <w:tab w:val="left" w:pos="5400"/>
              </w:tabs>
              <w:rPr>
                <w:bCs/>
                <w:sz w:val="20"/>
              </w:rPr>
            </w:pPr>
            <w:bookmarkStart w:id="69" w:name="bold36" w:colFirst="0" w:colLast="0"/>
            <w:bookmarkStart w:id="70" w:name="italic36" w:colFirst="0" w:colLast="0"/>
          </w:p>
        </w:tc>
        <w:tc>
          <w:tcPr>
            <w:tcW w:w="0" w:type="auto"/>
            <w:vMerge w:val="continue"/>
          </w:tcPr>
          <w:p w14:paraId="1F8BD168">
            <w:pPr>
              <w:tabs>
                <w:tab w:val="left" w:pos="5400"/>
              </w:tabs>
              <w:jc w:val="center"/>
              <w:rPr>
                <w:sz w:val="20"/>
              </w:rPr>
            </w:pPr>
          </w:p>
        </w:tc>
        <w:tc>
          <w:tcPr>
            <w:tcW w:w="4985" w:type="dxa"/>
            <w:tcBorders>
              <w:right w:val="single" w:color="auto" w:sz="4" w:space="0"/>
            </w:tcBorders>
          </w:tcPr>
          <w:p w14:paraId="11468412">
            <w:pPr>
              <w:tabs>
                <w:tab w:val="left" w:pos="5400"/>
              </w:tabs>
              <w:rPr>
                <w:sz w:val="20"/>
              </w:rPr>
            </w:pPr>
            <w:r>
              <w:rPr>
                <w:sz w:val="20"/>
              </w:rPr>
              <w:t>(b) Indicate number of participants with missing data for each variable of interest</w:t>
            </w:r>
          </w:p>
        </w:tc>
        <w:tc>
          <w:tcPr>
            <w:tcW w:w="2851" w:type="dxa"/>
            <w:tcBorders>
              <w:top w:val="single" w:color="auto" w:sz="4" w:space="0"/>
              <w:left w:val="single" w:color="auto" w:sz="4" w:space="0"/>
              <w:bottom w:val="single" w:color="auto" w:sz="4" w:space="0"/>
            </w:tcBorders>
          </w:tcPr>
          <w:p w14:paraId="1E263E21">
            <w:pPr>
              <w:tabs>
                <w:tab w:val="left" w:pos="5400"/>
              </w:tabs>
              <w:rPr>
                <w:sz w:val="20"/>
              </w:rPr>
            </w:pPr>
            <w:r>
              <w:rPr>
                <w:rFonts w:hint="eastAsia"/>
                <w:sz w:val="20"/>
              </w:rPr>
              <w:t>No missing data reported.</w:t>
            </w:r>
          </w:p>
        </w:tc>
      </w:tr>
      <w:bookmarkEnd w:id="69"/>
      <w:bookmarkEnd w:id="70"/>
      <w:tr w14:paraId="0E2A32E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7C633E30">
            <w:pPr>
              <w:tabs>
                <w:tab w:val="left" w:pos="5400"/>
              </w:tabs>
              <w:rPr>
                <w:bCs/>
                <w:sz w:val="20"/>
              </w:rPr>
            </w:pPr>
            <w:bookmarkStart w:id="71" w:name="italic37" w:colFirst="0" w:colLast="0"/>
            <w:bookmarkStart w:id="72" w:name="bold37" w:colFirst="0" w:colLast="0"/>
          </w:p>
        </w:tc>
        <w:tc>
          <w:tcPr>
            <w:tcW w:w="0" w:type="auto"/>
            <w:vMerge w:val="continue"/>
          </w:tcPr>
          <w:p w14:paraId="42F4331D">
            <w:pPr>
              <w:tabs>
                <w:tab w:val="left" w:pos="5400"/>
              </w:tabs>
              <w:jc w:val="center"/>
              <w:rPr>
                <w:sz w:val="20"/>
              </w:rPr>
            </w:pPr>
          </w:p>
        </w:tc>
        <w:tc>
          <w:tcPr>
            <w:tcW w:w="4985" w:type="dxa"/>
            <w:tcBorders>
              <w:right w:val="single" w:color="auto" w:sz="4" w:space="0"/>
            </w:tcBorders>
          </w:tcPr>
          <w:p w14:paraId="29646D42">
            <w:pPr>
              <w:tabs>
                <w:tab w:val="left" w:pos="5400"/>
              </w:tabs>
              <w:rPr>
                <w:sz w:val="20"/>
              </w:rPr>
            </w:pPr>
            <w:r>
              <w:rPr>
                <w:sz w:val="20"/>
              </w:rPr>
              <w:t xml:space="preserve">(c) </w:t>
            </w:r>
            <w:r>
              <w:rPr>
                <w:i/>
                <w:sz w:val="20"/>
              </w:rPr>
              <w:t>Cohort study</w:t>
            </w:r>
            <w:r>
              <w:rPr>
                <w:sz w:val="20"/>
              </w:rPr>
              <w:t>—Summarise follow-up time (eg, average and total amount)</w:t>
            </w:r>
          </w:p>
        </w:tc>
        <w:tc>
          <w:tcPr>
            <w:tcW w:w="2851" w:type="dxa"/>
            <w:tcBorders>
              <w:top w:val="single" w:color="auto" w:sz="4" w:space="0"/>
              <w:left w:val="single" w:color="auto" w:sz="4" w:space="0"/>
              <w:bottom w:val="single" w:color="auto" w:sz="4" w:space="0"/>
            </w:tcBorders>
          </w:tcPr>
          <w:p w14:paraId="53B8ACF0">
            <w:pPr>
              <w:tabs>
                <w:tab w:val="left" w:pos="5400"/>
              </w:tabs>
              <w:rPr>
                <w:sz w:val="20"/>
              </w:rPr>
            </w:pPr>
            <w:r>
              <w:rPr>
                <w:rFonts w:hint="eastAsia"/>
                <w:sz w:val="20"/>
              </w:rPr>
              <w:t>Not applicable (no follow-up).</w:t>
            </w:r>
          </w:p>
        </w:tc>
      </w:tr>
      <w:bookmarkEnd w:id="71"/>
      <w:bookmarkEnd w:id="72"/>
      <w:tr w14:paraId="6D7B0BC2">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35" w:hRule="atLeast"/>
        </w:trPr>
        <w:tc>
          <w:tcPr>
            <w:tcW w:w="0" w:type="auto"/>
            <w:vMerge w:val="restart"/>
          </w:tcPr>
          <w:p w14:paraId="2E98C2C9">
            <w:pPr>
              <w:tabs>
                <w:tab w:val="left" w:pos="5400"/>
              </w:tabs>
              <w:rPr>
                <w:bCs/>
                <w:sz w:val="20"/>
              </w:rPr>
            </w:pPr>
            <w:bookmarkStart w:id="73" w:name="bold38" w:colFirst="0" w:colLast="0"/>
            <w:bookmarkStart w:id="74" w:name="italic38" w:colFirst="0" w:colLast="0"/>
            <w:r>
              <w:rPr>
                <w:bCs/>
                <w:sz w:val="20"/>
              </w:rPr>
              <w:t>Outcome data</w:t>
            </w:r>
          </w:p>
        </w:tc>
        <w:tc>
          <w:tcPr>
            <w:tcW w:w="0" w:type="auto"/>
            <w:vMerge w:val="restart"/>
          </w:tcPr>
          <w:p w14:paraId="26A9F749">
            <w:pPr>
              <w:tabs>
                <w:tab w:val="left" w:pos="5400"/>
              </w:tabs>
              <w:jc w:val="center"/>
              <w:rPr>
                <w:sz w:val="20"/>
              </w:rPr>
            </w:pPr>
            <w:r>
              <w:rPr>
                <w:sz w:val="20"/>
              </w:rPr>
              <w:t>15</w:t>
            </w:r>
            <w:bookmarkStart w:id="75" w:name="bold39"/>
            <w:r>
              <w:rPr>
                <w:bCs/>
                <w:sz w:val="20"/>
              </w:rPr>
              <w:t>*</w:t>
            </w:r>
            <w:bookmarkEnd w:id="75"/>
          </w:p>
        </w:tc>
        <w:tc>
          <w:tcPr>
            <w:tcW w:w="4985" w:type="dxa"/>
            <w:tcBorders>
              <w:right w:val="single" w:color="auto" w:sz="4" w:space="0"/>
            </w:tcBorders>
            <w:vAlign w:val="top"/>
          </w:tcPr>
          <w:p w14:paraId="69F26416">
            <w:pPr>
              <w:tabs>
                <w:tab w:val="left" w:pos="5400"/>
              </w:tabs>
              <w:rPr>
                <w:sz w:val="20"/>
              </w:rPr>
            </w:pPr>
            <w:r>
              <w:rPr>
                <w:i/>
                <w:sz w:val="20"/>
              </w:rPr>
              <w:t>Cohort study</w:t>
            </w:r>
            <w:r>
              <w:rPr>
                <w:sz w:val="20"/>
              </w:rPr>
              <w:t>—Report numbers of outcome events or summary measures</w:t>
            </w:r>
            <w:bookmarkStart w:id="98" w:name="_GoBack"/>
            <w:bookmarkEnd w:id="98"/>
            <w:r>
              <w:rPr>
                <w:sz w:val="20"/>
              </w:rPr>
              <w:t xml:space="preserve"> over time</w:t>
            </w:r>
          </w:p>
        </w:tc>
        <w:tc>
          <w:tcPr>
            <w:tcW w:w="2851" w:type="dxa"/>
            <w:tcBorders>
              <w:top w:val="single" w:color="auto" w:sz="4" w:space="0"/>
              <w:left w:val="single" w:color="auto" w:sz="4" w:space="0"/>
              <w:bottom w:val="single" w:color="auto" w:sz="4" w:space="0"/>
            </w:tcBorders>
          </w:tcPr>
          <w:p w14:paraId="71340CFF">
            <w:pPr>
              <w:tabs>
                <w:tab w:val="left" w:pos="5400"/>
              </w:tabs>
              <w:rPr>
                <w:i/>
                <w:sz w:val="20"/>
              </w:rPr>
            </w:pPr>
            <w:r>
              <w:rPr>
                <w:rFonts w:hint="eastAsia"/>
                <w:i w:val="0"/>
                <w:iCs/>
                <w:sz w:val="20"/>
              </w:rPr>
              <w:t>Section 3.1: MNA group n=49 (40.5%), MYCN-NA group n=72 (59.5%) – cross-sectional, not over time. (Page 3)</w:t>
            </w:r>
          </w:p>
        </w:tc>
      </w:tr>
      <w:tr w14:paraId="7C3F287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22" w:hRule="atLeast"/>
        </w:trPr>
        <w:tc>
          <w:tcPr>
            <w:tcW w:w="0" w:type="auto"/>
            <w:vMerge w:val="continue"/>
          </w:tcPr>
          <w:p w14:paraId="7C8679CA">
            <w:pPr>
              <w:tabs>
                <w:tab w:val="left" w:pos="5400"/>
              </w:tabs>
            </w:pPr>
          </w:p>
        </w:tc>
        <w:tc>
          <w:tcPr>
            <w:tcW w:w="0" w:type="auto"/>
            <w:vMerge w:val="continue"/>
          </w:tcPr>
          <w:p w14:paraId="0BB36CBB">
            <w:pPr>
              <w:tabs>
                <w:tab w:val="left" w:pos="5400"/>
              </w:tabs>
            </w:pPr>
          </w:p>
        </w:tc>
        <w:tc>
          <w:tcPr>
            <w:tcW w:w="4985" w:type="dxa"/>
            <w:tcBorders>
              <w:right w:val="single" w:color="auto" w:sz="4" w:space="0"/>
            </w:tcBorders>
            <w:vAlign w:val="top"/>
          </w:tcPr>
          <w:p w14:paraId="01E3E5AF">
            <w:pPr>
              <w:tabs>
                <w:tab w:val="left" w:pos="5400"/>
              </w:tabs>
              <w:rPr>
                <w:sz w:val="20"/>
              </w:rPr>
            </w:pPr>
            <w:r>
              <w:rPr>
                <w:i/>
                <w:sz w:val="20"/>
              </w:rPr>
              <w:t>Case-control study—</w:t>
            </w:r>
            <w:r>
              <w:rPr>
                <w:sz w:val="20"/>
              </w:rPr>
              <w:t>Report numbers in each exposure category, or summary measures of exposure</w:t>
            </w:r>
          </w:p>
        </w:tc>
        <w:tc>
          <w:tcPr>
            <w:tcW w:w="2851" w:type="dxa"/>
            <w:tcBorders>
              <w:top w:val="single" w:color="auto" w:sz="4" w:space="0"/>
              <w:left w:val="single" w:color="auto" w:sz="4" w:space="0"/>
              <w:bottom w:val="single" w:color="auto" w:sz="4" w:space="0"/>
            </w:tcBorders>
          </w:tcPr>
          <w:p w14:paraId="5E862CE9">
            <w:pPr>
              <w:tabs>
                <w:tab w:val="left" w:pos="5400"/>
              </w:tabs>
              <w:rPr>
                <w:sz w:val="20"/>
              </w:rPr>
            </w:pPr>
          </w:p>
        </w:tc>
      </w:tr>
      <w:tr w14:paraId="2F6D01C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422" w:hRule="atLeast"/>
        </w:trPr>
        <w:tc>
          <w:tcPr>
            <w:tcW w:w="0" w:type="auto"/>
            <w:vMerge w:val="continue"/>
          </w:tcPr>
          <w:p w14:paraId="18D37716">
            <w:pPr>
              <w:tabs>
                <w:tab w:val="left" w:pos="5400"/>
              </w:tabs>
              <w:rPr>
                <w:sz w:val="20"/>
              </w:rPr>
            </w:pPr>
          </w:p>
        </w:tc>
        <w:tc>
          <w:tcPr>
            <w:tcW w:w="0" w:type="auto"/>
            <w:vMerge w:val="continue"/>
          </w:tcPr>
          <w:p w14:paraId="3A68D8D6">
            <w:pPr>
              <w:tabs>
                <w:tab w:val="left" w:pos="5400"/>
              </w:tabs>
              <w:rPr>
                <w:sz w:val="20"/>
              </w:rPr>
            </w:pPr>
          </w:p>
        </w:tc>
        <w:tc>
          <w:tcPr>
            <w:tcW w:w="4985" w:type="dxa"/>
            <w:tcBorders>
              <w:right w:val="single" w:color="auto" w:sz="4" w:space="0"/>
            </w:tcBorders>
            <w:vAlign w:val="top"/>
          </w:tcPr>
          <w:p w14:paraId="50BB2301">
            <w:pPr>
              <w:tabs>
                <w:tab w:val="left" w:pos="5400"/>
              </w:tabs>
              <w:rPr>
                <w:sz w:val="20"/>
              </w:rPr>
            </w:pPr>
            <w:r>
              <w:rPr>
                <w:i/>
                <w:sz w:val="20"/>
              </w:rPr>
              <w:t>Cross-sectional study—</w:t>
            </w:r>
            <w:r>
              <w:rPr>
                <w:sz w:val="20"/>
              </w:rPr>
              <w:t>Report numbers of outcome events or summary measures</w:t>
            </w:r>
          </w:p>
        </w:tc>
        <w:tc>
          <w:tcPr>
            <w:tcW w:w="2851" w:type="dxa"/>
            <w:tcBorders>
              <w:top w:val="single" w:color="auto" w:sz="4" w:space="0"/>
              <w:left w:val="single" w:color="auto" w:sz="4" w:space="0"/>
              <w:bottom w:val="single" w:color="auto" w:sz="4" w:space="0"/>
            </w:tcBorders>
          </w:tcPr>
          <w:p w14:paraId="6E50A1E7">
            <w:pPr>
              <w:tabs>
                <w:tab w:val="left" w:pos="5400"/>
              </w:tabs>
              <w:rPr>
                <w:sz w:val="20"/>
              </w:rPr>
            </w:pPr>
          </w:p>
        </w:tc>
      </w:tr>
      <w:bookmarkEnd w:id="73"/>
      <w:bookmarkEnd w:id="74"/>
      <w:tr w14:paraId="5F34265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restart"/>
          </w:tcPr>
          <w:p w14:paraId="5CEB294C">
            <w:pPr>
              <w:tabs>
                <w:tab w:val="left" w:pos="5400"/>
              </w:tabs>
              <w:rPr>
                <w:bCs/>
                <w:sz w:val="20"/>
              </w:rPr>
            </w:pPr>
            <w:bookmarkStart w:id="76" w:name="italic40" w:colFirst="0" w:colLast="0"/>
            <w:bookmarkStart w:id="77" w:name="bold41" w:colFirst="0" w:colLast="0"/>
            <w:r>
              <w:rPr>
                <w:bCs/>
                <w:sz w:val="20"/>
              </w:rPr>
              <w:t>Main results</w:t>
            </w:r>
          </w:p>
        </w:tc>
        <w:tc>
          <w:tcPr>
            <w:tcW w:w="0" w:type="auto"/>
            <w:vMerge w:val="restart"/>
          </w:tcPr>
          <w:p w14:paraId="55953045">
            <w:pPr>
              <w:tabs>
                <w:tab w:val="left" w:pos="5400"/>
              </w:tabs>
              <w:jc w:val="center"/>
              <w:rPr>
                <w:sz w:val="20"/>
              </w:rPr>
            </w:pPr>
            <w:r>
              <w:rPr>
                <w:sz w:val="20"/>
              </w:rPr>
              <w:t>16</w:t>
            </w:r>
          </w:p>
        </w:tc>
        <w:tc>
          <w:tcPr>
            <w:tcW w:w="4985" w:type="dxa"/>
            <w:tcBorders>
              <w:right w:val="single" w:color="auto" w:sz="4" w:space="0"/>
            </w:tcBorders>
          </w:tcPr>
          <w:p w14:paraId="4BA71F20">
            <w:pPr>
              <w:tabs>
                <w:tab w:val="left" w:pos="5400"/>
              </w:tabs>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2851" w:type="dxa"/>
            <w:tcBorders>
              <w:top w:val="single" w:color="auto" w:sz="4" w:space="0"/>
              <w:left w:val="single" w:color="auto" w:sz="4" w:space="0"/>
              <w:bottom w:val="single" w:color="auto" w:sz="4" w:space="0"/>
            </w:tcBorders>
          </w:tcPr>
          <w:p w14:paraId="1919307A">
            <w:pPr>
              <w:tabs>
                <w:tab w:val="left" w:pos="5400"/>
              </w:tabs>
              <w:rPr>
                <w:sz w:val="20"/>
              </w:rPr>
            </w:pPr>
            <w:r>
              <w:rPr>
                <w:rFonts w:hint="eastAsia"/>
                <w:sz w:val="20"/>
              </w:rPr>
              <w:t>Unadjusted: Tables 1, 2, and Section 3.3. Adjusted: multivariate logistic regression (Section 3.3) gives OR, 95% CI, p-values for SUVmax (OR=1.71), MTV (OR=1.075), ADCmean (OR=0.34). Adjusted for all variables with p&lt;0.05 in univariate analysis (IDRFs, INRG stage, necrosis, hemorrhage, mean diameter, SUVmax, SUVmean, MTV, TLG, ADCmean). (Page 3)</w:t>
            </w:r>
          </w:p>
        </w:tc>
      </w:tr>
      <w:bookmarkEnd w:id="76"/>
      <w:bookmarkEnd w:id="77"/>
      <w:tr w14:paraId="6AD8F68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0F0B620E">
            <w:pPr>
              <w:tabs>
                <w:tab w:val="left" w:pos="5400"/>
              </w:tabs>
              <w:rPr>
                <w:bCs/>
                <w:sz w:val="20"/>
              </w:rPr>
            </w:pPr>
            <w:bookmarkStart w:id="78" w:name="italic41" w:colFirst="0" w:colLast="0"/>
            <w:bookmarkStart w:id="79" w:name="bold42" w:colFirst="0" w:colLast="0"/>
          </w:p>
        </w:tc>
        <w:tc>
          <w:tcPr>
            <w:tcW w:w="0" w:type="auto"/>
            <w:vMerge w:val="continue"/>
          </w:tcPr>
          <w:p w14:paraId="7E6390EF">
            <w:pPr>
              <w:tabs>
                <w:tab w:val="left" w:pos="5400"/>
              </w:tabs>
              <w:jc w:val="center"/>
              <w:rPr>
                <w:sz w:val="20"/>
              </w:rPr>
            </w:pPr>
          </w:p>
        </w:tc>
        <w:tc>
          <w:tcPr>
            <w:tcW w:w="4985" w:type="dxa"/>
            <w:tcBorders>
              <w:right w:val="single" w:color="auto" w:sz="4" w:space="0"/>
            </w:tcBorders>
          </w:tcPr>
          <w:p w14:paraId="4D5F53F9">
            <w:pPr>
              <w:tabs>
                <w:tab w:val="left" w:pos="5400"/>
              </w:tabs>
              <w:rPr>
                <w:sz w:val="20"/>
              </w:rPr>
            </w:pPr>
            <w:r>
              <w:rPr>
                <w:sz w:val="20"/>
              </w:rPr>
              <w:t>(</w:t>
            </w:r>
            <w:r>
              <w:rPr>
                <w:i/>
                <w:sz w:val="20"/>
              </w:rPr>
              <w:t>b</w:t>
            </w:r>
            <w:r>
              <w:rPr>
                <w:sz w:val="20"/>
              </w:rPr>
              <w:t>) Report category boundaries when continuous variables were categorized</w:t>
            </w:r>
          </w:p>
        </w:tc>
        <w:tc>
          <w:tcPr>
            <w:tcW w:w="2851" w:type="dxa"/>
            <w:tcBorders>
              <w:top w:val="single" w:color="auto" w:sz="4" w:space="0"/>
              <w:left w:val="single" w:color="auto" w:sz="4" w:space="0"/>
              <w:bottom w:val="single" w:color="auto" w:sz="4" w:space="0"/>
            </w:tcBorders>
          </w:tcPr>
          <w:p w14:paraId="3EA7D1B4">
            <w:pPr>
              <w:tabs>
                <w:tab w:val="left" w:pos="5400"/>
              </w:tabs>
              <w:rPr>
                <w:rFonts w:hint="eastAsia" w:eastAsia="宋体"/>
                <w:sz w:val="20"/>
                <w:lang w:eastAsia="zh-CN"/>
              </w:rPr>
            </w:pPr>
            <w:r>
              <w:rPr>
                <w:rFonts w:hint="eastAsia"/>
                <w:sz w:val="20"/>
              </w:rPr>
              <w:t>Cut-offs for SUVmax (6.07), MTV (111 cm³), ADCmean (0.678 ×10⁻³ mm²/s) given in Table 3 (derived from Youden index). (Page 5</w:t>
            </w:r>
            <w:r>
              <w:rPr>
                <w:rFonts w:hint="eastAsia" w:eastAsia="宋体"/>
                <w:sz w:val="20"/>
                <w:lang w:eastAsia="zh-CN"/>
              </w:rPr>
              <w:t>）</w:t>
            </w:r>
          </w:p>
        </w:tc>
      </w:tr>
      <w:bookmarkEnd w:id="78"/>
      <w:bookmarkEnd w:id="79"/>
      <w:tr w14:paraId="443DE63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vMerge w:val="continue"/>
          </w:tcPr>
          <w:p w14:paraId="354E94A3">
            <w:pPr>
              <w:tabs>
                <w:tab w:val="left" w:pos="5400"/>
              </w:tabs>
              <w:rPr>
                <w:bCs/>
                <w:sz w:val="20"/>
              </w:rPr>
            </w:pPr>
            <w:bookmarkStart w:id="80" w:name="bold43" w:colFirst="0" w:colLast="0"/>
            <w:bookmarkStart w:id="81" w:name="italic42" w:colFirst="0" w:colLast="0"/>
          </w:p>
        </w:tc>
        <w:tc>
          <w:tcPr>
            <w:tcW w:w="0" w:type="auto"/>
            <w:vMerge w:val="continue"/>
          </w:tcPr>
          <w:p w14:paraId="65A3B9FD">
            <w:pPr>
              <w:tabs>
                <w:tab w:val="left" w:pos="5400"/>
              </w:tabs>
              <w:jc w:val="center"/>
              <w:rPr>
                <w:sz w:val="20"/>
              </w:rPr>
            </w:pPr>
          </w:p>
        </w:tc>
        <w:tc>
          <w:tcPr>
            <w:tcW w:w="4985" w:type="dxa"/>
            <w:tcBorders>
              <w:right w:val="single" w:color="auto" w:sz="4" w:space="0"/>
            </w:tcBorders>
          </w:tcPr>
          <w:p w14:paraId="2F93D599">
            <w:pPr>
              <w:tabs>
                <w:tab w:val="left" w:pos="5400"/>
              </w:tabs>
              <w:rPr>
                <w:sz w:val="20"/>
              </w:rPr>
            </w:pPr>
            <w:r>
              <w:rPr>
                <w:sz w:val="20"/>
              </w:rPr>
              <w:t>(</w:t>
            </w:r>
            <w:r>
              <w:rPr>
                <w:i/>
                <w:sz w:val="20"/>
              </w:rPr>
              <w:t>c</w:t>
            </w:r>
            <w:r>
              <w:rPr>
                <w:sz w:val="20"/>
              </w:rPr>
              <w:t>) If relevant, consider translating estimates of relative risk into absolute risk for a meaningful time period</w:t>
            </w:r>
          </w:p>
        </w:tc>
        <w:tc>
          <w:tcPr>
            <w:tcW w:w="2851" w:type="dxa"/>
            <w:tcBorders>
              <w:top w:val="single" w:color="auto" w:sz="4" w:space="0"/>
              <w:left w:val="single" w:color="auto" w:sz="4" w:space="0"/>
              <w:bottom w:val="single" w:color="auto" w:sz="4" w:space="0"/>
            </w:tcBorders>
          </w:tcPr>
          <w:p w14:paraId="13B3F0C2">
            <w:pPr>
              <w:tabs>
                <w:tab w:val="left" w:pos="5400"/>
              </w:tabs>
              <w:rPr>
                <w:sz w:val="20"/>
              </w:rPr>
            </w:pPr>
            <w:r>
              <w:rPr>
                <w:rFonts w:hint="eastAsia"/>
                <w:sz w:val="20"/>
              </w:rPr>
              <w:t>Not applicable (cross-sectional).</w:t>
            </w:r>
          </w:p>
        </w:tc>
      </w:tr>
      <w:bookmarkEnd w:id="80"/>
      <w:bookmarkEnd w:id="81"/>
      <w:tr w14:paraId="34CB274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7FF9ECEB">
            <w:pPr>
              <w:tabs>
                <w:tab w:val="left" w:pos="5400"/>
              </w:tabs>
              <w:rPr>
                <w:bCs/>
                <w:sz w:val="20"/>
              </w:rPr>
            </w:pPr>
            <w:bookmarkStart w:id="82" w:name="italic43"/>
            <w:bookmarkStart w:id="83" w:name="bold44"/>
            <w:r>
              <w:rPr>
                <w:bCs/>
                <w:sz w:val="20"/>
              </w:rPr>
              <w:t>Other analyses</w:t>
            </w:r>
            <w:bookmarkEnd w:id="82"/>
            <w:bookmarkEnd w:id="83"/>
          </w:p>
        </w:tc>
        <w:tc>
          <w:tcPr>
            <w:tcW w:w="0" w:type="auto"/>
          </w:tcPr>
          <w:p w14:paraId="7304614F">
            <w:pPr>
              <w:tabs>
                <w:tab w:val="left" w:pos="5400"/>
              </w:tabs>
              <w:jc w:val="center"/>
              <w:rPr>
                <w:sz w:val="20"/>
              </w:rPr>
            </w:pPr>
            <w:r>
              <w:rPr>
                <w:sz w:val="20"/>
              </w:rPr>
              <w:t>17</w:t>
            </w:r>
          </w:p>
        </w:tc>
        <w:tc>
          <w:tcPr>
            <w:tcW w:w="4985" w:type="dxa"/>
            <w:tcBorders>
              <w:right w:val="single" w:color="auto" w:sz="4" w:space="0"/>
            </w:tcBorders>
          </w:tcPr>
          <w:p w14:paraId="488275F5">
            <w:pPr>
              <w:tabs>
                <w:tab w:val="left" w:pos="5400"/>
              </w:tabs>
              <w:rPr>
                <w:sz w:val="20"/>
              </w:rPr>
            </w:pPr>
            <w:r>
              <w:rPr>
                <w:sz w:val="20"/>
              </w:rPr>
              <w:t>Report other analyses done—eg analyses of subgroups and interactions, and sensitivity analyses</w:t>
            </w:r>
          </w:p>
        </w:tc>
        <w:tc>
          <w:tcPr>
            <w:tcW w:w="2851" w:type="dxa"/>
            <w:tcBorders>
              <w:top w:val="single" w:color="auto" w:sz="4" w:space="0"/>
              <w:left w:val="single" w:color="auto" w:sz="4" w:space="0"/>
              <w:bottom w:val="single" w:color="auto" w:sz="4" w:space="0"/>
            </w:tcBorders>
          </w:tcPr>
          <w:p w14:paraId="5D0C4FAF">
            <w:pPr>
              <w:tabs>
                <w:tab w:val="left" w:pos="5400"/>
              </w:tabs>
              <w:rPr>
                <w:sz w:val="20"/>
              </w:rPr>
            </w:pPr>
            <w:r>
              <w:rPr>
                <w:rFonts w:hint="eastAsia"/>
                <w:sz w:val="20"/>
              </w:rPr>
              <w:t>Reproducibility analyses (Section 3.5, Tables 4–5: Kappa and ICC). Calibration curves (Figure 4), DCA (Figure 3), nomogram (Figure 5). (Pages 5–8)</w:t>
            </w:r>
          </w:p>
        </w:tc>
      </w:tr>
      <w:tr w14:paraId="4364E9A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255215E0">
            <w:pPr>
              <w:pStyle w:val="168"/>
              <w:tabs>
                <w:tab w:val="left" w:pos="5400"/>
              </w:tabs>
              <w:rPr>
                <w:sz w:val="20"/>
              </w:rPr>
            </w:pPr>
            <w:bookmarkStart w:id="84" w:name="italic44"/>
            <w:bookmarkStart w:id="85" w:name="bold45"/>
            <w:r>
              <w:rPr>
                <w:sz w:val="20"/>
              </w:rPr>
              <w:t>Discussion</w:t>
            </w:r>
            <w:bookmarkEnd w:id="84"/>
            <w:bookmarkEnd w:id="85"/>
          </w:p>
        </w:tc>
      </w:tr>
      <w:tr w14:paraId="4B23B79A">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2A7A6219">
            <w:pPr>
              <w:tabs>
                <w:tab w:val="left" w:pos="5400"/>
              </w:tabs>
              <w:rPr>
                <w:bCs/>
                <w:sz w:val="20"/>
              </w:rPr>
            </w:pPr>
            <w:bookmarkStart w:id="86" w:name="bold46" w:colFirst="0" w:colLast="0"/>
            <w:bookmarkStart w:id="87" w:name="italic45" w:colFirst="0" w:colLast="0"/>
            <w:r>
              <w:rPr>
                <w:bCs/>
                <w:sz w:val="20"/>
              </w:rPr>
              <w:t>Key results</w:t>
            </w:r>
          </w:p>
        </w:tc>
        <w:tc>
          <w:tcPr>
            <w:tcW w:w="0" w:type="auto"/>
          </w:tcPr>
          <w:p w14:paraId="27AE04CB">
            <w:pPr>
              <w:tabs>
                <w:tab w:val="left" w:pos="5400"/>
              </w:tabs>
              <w:jc w:val="center"/>
              <w:rPr>
                <w:sz w:val="20"/>
              </w:rPr>
            </w:pPr>
            <w:r>
              <w:rPr>
                <w:sz w:val="20"/>
              </w:rPr>
              <w:t>18</w:t>
            </w:r>
          </w:p>
        </w:tc>
        <w:tc>
          <w:tcPr>
            <w:tcW w:w="4985" w:type="dxa"/>
            <w:tcBorders>
              <w:right w:val="single" w:color="auto" w:sz="4" w:space="0"/>
            </w:tcBorders>
          </w:tcPr>
          <w:p w14:paraId="1D4F50F1">
            <w:pPr>
              <w:tabs>
                <w:tab w:val="left" w:pos="5400"/>
              </w:tabs>
              <w:rPr>
                <w:sz w:val="20"/>
              </w:rPr>
            </w:pPr>
            <w:r>
              <w:rPr>
                <w:sz w:val="20"/>
              </w:rPr>
              <w:t>Summarise key results with reference to study objectives</w:t>
            </w:r>
          </w:p>
        </w:tc>
        <w:tc>
          <w:tcPr>
            <w:tcW w:w="2851" w:type="dxa"/>
            <w:tcBorders>
              <w:top w:val="single" w:color="auto" w:sz="4" w:space="0"/>
              <w:left w:val="single" w:color="auto" w:sz="4" w:space="0"/>
              <w:bottom w:val="single" w:color="auto" w:sz="4" w:space="0"/>
            </w:tcBorders>
          </w:tcPr>
          <w:p w14:paraId="00787FC4">
            <w:pPr>
              <w:tabs>
                <w:tab w:val="left" w:pos="5400"/>
              </w:tabs>
              <w:rPr>
                <w:sz w:val="20"/>
              </w:rPr>
            </w:pPr>
            <w:r>
              <w:rPr>
                <w:rFonts w:hint="eastAsia"/>
                <w:sz w:val="20"/>
              </w:rPr>
              <w:t>Discussion, first paragraph: summarizes SUVmax, MTV, ADCmean as independent predictors, combined model AUC=0.916, sensitivity 0.833, specificity 0.810. (Page 6)</w:t>
            </w:r>
          </w:p>
        </w:tc>
      </w:tr>
      <w:bookmarkEnd w:id="86"/>
      <w:bookmarkEnd w:id="87"/>
      <w:tr w14:paraId="2C563B1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04AF6C9D">
            <w:pPr>
              <w:tabs>
                <w:tab w:val="left" w:pos="5400"/>
              </w:tabs>
              <w:rPr>
                <w:bCs/>
                <w:sz w:val="20"/>
              </w:rPr>
            </w:pPr>
            <w:bookmarkStart w:id="88" w:name="italic46" w:colFirst="0" w:colLast="0"/>
            <w:bookmarkStart w:id="89" w:name="bold47" w:colFirst="0" w:colLast="0"/>
            <w:r>
              <w:rPr>
                <w:bCs/>
                <w:sz w:val="20"/>
              </w:rPr>
              <w:t>Limitations</w:t>
            </w:r>
          </w:p>
        </w:tc>
        <w:tc>
          <w:tcPr>
            <w:tcW w:w="0" w:type="auto"/>
          </w:tcPr>
          <w:p w14:paraId="3817599D">
            <w:pPr>
              <w:tabs>
                <w:tab w:val="left" w:pos="5400"/>
              </w:tabs>
              <w:jc w:val="center"/>
              <w:rPr>
                <w:sz w:val="20"/>
              </w:rPr>
            </w:pPr>
            <w:r>
              <w:rPr>
                <w:sz w:val="20"/>
              </w:rPr>
              <w:t>19</w:t>
            </w:r>
          </w:p>
        </w:tc>
        <w:tc>
          <w:tcPr>
            <w:tcW w:w="4985" w:type="dxa"/>
            <w:tcBorders>
              <w:right w:val="single" w:color="auto" w:sz="4" w:space="0"/>
            </w:tcBorders>
          </w:tcPr>
          <w:p w14:paraId="3B87ABC7">
            <w:pPr>
              <w:tabs>
                <w:tab w:val="left" w:pos="5400"/>
              </w:tabs>
              <w:rPr>
                <w:sz w:val="20"/>
              </w:rPr>
            </w:pPr>
            <w:r>
              <w:rPr>
                <w:sz w:val="20"/>
              </w:rPr>
              <w:t>Discuss limitations of the study, taking into account sources of potential bias or imprecision. Discuss both direction and magnitude of any potential bias</w:t>
            </w:r>
          </w:p>
        </w:tc>
        <w:tc>
          <w:tcPr>
            <w:tcW w:w="2851" w:type="dxa"/>
            <w:tcBorders>
              <w:top w:val="single" w:color="auto" w:sz="4" w:space="0"/>
              <w:left w:val="single" w:color="auto" w:sz="4" w:space="0"/>
              <w:bottom w:val="single" w:color="auto" w:sz="4" w:space="0"/>
            </w:tcBorders>
          </w:tcPr>
          <w:p w14:paraId="0F3DCC83">
            <w:pPr>
              <w:tabs>
                <w:tab w:val="left" w:pos="5400"/>
              </w:tabs>
              <w:rPr>
                <w:sz w:val="20"/>
              </w:rPr>
            </w:pPr>
            <w:r>
              <w:rPr>
                <w:rFonts w:hint="eastAsia"/>
                <w:sz w:val="20"/>
              </w:rPr>
              <w:t>Discussion, limitations paragraph (four points): (1) limited sample size (medium-scale); (2) retrospective design and subjective interpretation; (3) single-center, equipment/regional bias; (4) lack of molecular mechanism validation. (Page 8)</w:t>
            </w:r>
          </w:p>
        </w:tc>
      </w:tr>
      <w:bookmarkEnd w:id="88"/>
      <w:bookmarkEnd w:id="89"/>
      <w:tr w14:paraId="72DF8D7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473F7581">
            <w:pPr>
              <w:tabs>
                <w:tab w:val="left" w:pos="5400"/>
              </w:tabs>
              <w:rPr>
                <w:bCs/>
                <w:sz w:val="20"/>
              </w:rPr>
            </w:pPr>
            <w:bookmarkStart w:id="90" w:name="italic47" w:colFirst="0" w:colLast="0"/>
            <w:bookmarkStart w:id="91" w:name="bold48" w:colFirst="0" w:colLast="0"/>
            <w:r>
              <w:rPr>
                <w:bCs/>
                <w:sz w:val="20"/>
              </w:rPr>
              <w:t>Interpretation</w:t>
            </w:r>
          </w:p>
        </w:tc>
        <w:tc>
          <w:tcPr>
            <w:tcW w:w="0" w:type="auto"/>
          </w:tcPr>
          <w:p w14:paraId="53196C0C">
            <w:pPr>
              <w:tabs>
                <w:tab w:val="left" w:pos="5400"/>
              </w:tabs>
              <w:jc w:val="center"/>
              <w:rPr>
                <w:sz w:val="20"/>
              </w:rPr>
            </w:pPr>
            <w:r>
              <w:rPr>
                <w:sz w:val="20"/>
              </w:rPr>
              <w:t>20</w:t>
            </w:r>
          </w:p>
        </w:tc>
        <w:tc>
          <w:tcPr>
            <w:tcW w:w="4985" w:type="dxa"/>
            <w:tcBorders>
              <w:right w:val="single" w:color="auto" w:sz="4" w:space="0"/>
            </w:tcBorders>
          </w:tcPr>
          <w:p w14:paraId="3715A2B3">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2851" w:type="dxa"/>
            <w:tcBorders>
              <w:top w:val="single" w:color="auto" w:sz="4" w:space="0"/>
              <w:left w:val="single" w:color="auto" w:sz="4" w:space="0"/>
              <w:bottom w:val="single" w:color="auto" w:sz="4" w:space="0"/>
            </w:tcBorders>
          </w:tcPr>
          <w:p w14:paraId="15865BC1">
            <w:pPr>
              <w:tabs>
                <w:tab w:val="left" w:pos="5400"/>
              </w:tabs>
              <w:rPr>
                <w:sz w:val="20"/>
              </w:rPr>
            </w:pPr>
            <w:r>
              <w:rPr>
                <w:rFonts w:hint="eastAsia"/>
                <w:sz w:val="20"/>
              </w:rPr>
              <w:t>Discussion compares with prior literature (Hu, Li, Liu, Feng, etc.), explains discrepancies (e.g., MTV/TLG significance vs. meta-analysis), highlights PET/MRI advantages, and calls for further validation. (Pages 7–8)</w:t>
            </w:r>
          </w:p>
        </w:tc>
      </w:tr>
      <w:bookmarkEnd w:id="90"/>
      <w:bookmarkEnd w:id="91"/>
      <w:tr w14:paraId="448772BD">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61A79497">
            <w:pPr>
              <w:tabs>
                <w:tab w:val="left" w:pos="5400"/>
              </w:tabs>
              <w:rPr>
                <w:bCs/>
                <w:sz w:val="20"/>
              </w:rPr>
            </w:pPr>
            <w:bookmarkStart w:id="92" w:name="bold49" w:colFirst="0" w:colLast="0"/>
            <w:bookmarkStart w:id="93" w:name="italic48" w:colFirst="0" w:colLast="0"/>
            <w:r>
              <w:rPr>
                <w:bCs/>
                <w:sz w:val="20"/>
              </w:rPr>
              <w:t>Generalisability</w:t>
            </w:r>
          </w:p>
        </w:tc>
        <w:tc>
          <w:tcPr>
            <w:tcW w:w="0" w:type="auto"/>
          </w:tcPr>
          <w:p w14:paraId="7CEAB01A">
            <w:pPr>
              <w:tabs>
                <w:tab w:val="left" w:pos="5400"/>
              </w:tabs>
              <w:jc w:val="center"/>
              <w:rPr>
                <w:sz w:val="20"/>
              </w:rPr>
            </w:pPr>
            <w:r>
              <w:rPr>
                <w:sz w:val="20"/>
              </w:rPr>
              <w:t>21</w:t>
            </w:r>
          </w:p>
        </w:tc>
        <w:tc>
          <w:tcPr>
            <w:tcW w:w="4985" w:type="dxa"/>
            <w:tcBorders>
              <w:right w:val="single" w:color="auto" w:sz="4" w:space="0"/>
            </w:tcBorders>
          </w:tcPr>
          <w:p w14:paraId="27686A17">
            <w:pPr>
              <w:tabs>
                <w:tab w:val="left" w:pos="5400"/>
              </w:tabs>
              <w:rPr>
                <w:sz w:val="20"/>
              </w:rPr>
            </w:pPr>
            <w:r>
              <w:rPr>
                <w:sz w:val="20"/>
              </w:rPr>
              <w:t>Discuss the generalisability (external validity) of the study results</w:t>
            </w:r>
          </w:p>
        </w:tc>
        <w:tc>
          <w:tcPr>
            <w:tcW w:w="2851" w:type="dxa"/>
            <w:tcBorders>
              <w:top w:val="single" w:color="auto" w:sz="4" w:space="0"/>
              <w:left w:val="single" w:color="auto" w:sz="4" w:space="0"/>
              <w:bottom w:val="single" w:color="auto" w:sz="4" w:space="0"/>
            </w:tcBorders>
          </w:tcPr>
          <w:p w14:paraId="26DA8422">
            <w:pPr>
              <w:tabs>
                <w:tab w:val="left" w:pos="5400"/>
              </w:tabs>
              <w:rPr>
                <w:sz w:val="20"/>
              </w:rPr>
            </w:pPr>
            <w:r>
              <w:rPr>
                <w:rFonts w:hint="eastAsia"/>
                <w:sz w:val="20"/>
              </w:rPr>
              <w:t>Discussion, last paragraph: acknowledges single-center and limited sample size; calls for multicenter, large-sample prospective studies to validate and enhance generalisability. (Page 8)</w:t>
            </w:r>
          </w:p>
        </w:tc>
      </w:tr>
      <w:bookmarkEnd w:id="92"/>
      <w:bookmarkEnd w:id="93"/>
      <w:tr w14:paraId="3807DEA8">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9857" w:type="dxa"/>
            <w:gridSpan w:val="4"/>
          </w:tcPr>
          <w:p w14:paraId="60BE2D2E">
            <w:pPr>
              <w:pStyle w:val="168"/>
              <w:tabs>
                <w:tab w:val="left" w:pos="5400"/>
              </w:tabs>
              <w:rPr>
                <w:sz w:val="20"/>
              </w:rPr>
            </w:pPr>
            <w:bookmarkStart w:id="94" w:name="italic49"/>
            <w:bookmarkStart w:id="95" w:name="bold50"/>
            <w:r>
              <w:rPr>
                <w:sz w:val="20"/>
              </w:rPr>
              <w:t>Other information</w:t>
            </w:r>
            <w:bookmarkEnd w:id="94"/>
            <w:bookmarkEnd w:id="95"/>
          </w:p>
        </w:tc>
      </w:tr>
      <w:tr w14:paraId="19807AEF">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0" w:type="auto"/>
          </w:tcPr>
          <w:p w14:paraId="3E1FB67B">
            <w:pPr>
              <w:tabs>
                <w:tab w:val="left" w:pos="5400"/>
              </w:tabs>
              <w:rPr>
                <w:bCs/>
                <w:sz w:val="20"/>
              </w:rPr>
            </w:pPr>
            <w:bookmarkStart w:id="96" w:name="bold51" w:colFirst="0" w:colLast="0"/>
            <w:bookmarkStart w:id="97" w:name="italic50" w:colFirst="0" w:colLast="0"/>
            <w:r>
              <w:rPr>
                <w:bCs/>
                <w:sz w:val="20"/>
              </w:rPr>
              <w:t>Funding</w:t>
            </w:r>
          </w:p>
        </w:tc>
        <w:tc>
          <w:tcPr>
            <w:tcW w:w="0" w:type="auto"/>
          </w:tcPr>
          <w:p w14:paraId="7C9E9068">
            <w:pPr>
              <w:tabs>
                <w:tab w:val="left" w:pos="5400"/>
              </w:tabs>
              <w:jc w:val="center"/>
              <w:rPr>
                <w:sz w:val="20"/>
              </w:rPr>
            </w:pPr>
            <w:r>
              <w:rPr>
                <w:sz w:val="20"/>
              </w:rPr>
              <w:t>22</w:t>
            </w:r>
          </w:p>
        </w:tc>
        <w:tc>
          <w:tcPr>
            <w:tcW w:w="4985" w:type="dxa"/>
            <w:tcBorders>
              <w:right w:val="single" w:color="auto" w:sz="4" w:space="0"/>
            </w:tcBorders>
          </w:tcPr>
          <w:p w14:paraId="4C172C19">
            <w:pPr>
              <w:tabs>
                <w:tab w:val="left" w:pos="5400"/>
              </w:tabs>
              <w:rPr>
                <w:sz w:val="20"/>
              </w:rPr>
            </w:pPr>
            <w:r>
              <w:rPr>
                <w:sz w:val="20"/>
              </w:rPr>
              <w:t>Give the source of funding and the role of the funders for the present study and, if applicable, for the original study on which the present article is based</w:t>
            </w:r>
          </w:p>
        </w:tc>
        <w:tc>
          <w:tcPr>
            <w:tcW w:w="2851" w:type="dxa"/>
            <w:tcBorders>
              <w:top w:val="single" w:color="auto" w:sz="4" w:space="0"/>
              <w:left w:val="single" w:color="auto" w:sz="4" w:space="0"/>
              <w:bottom w:val="nil"/>
            </w:tcBorders>
          </w:tcPr>
          <w:p w14:paraId="64CCBBE6">
            <w:pPr>
              <w:tabs>
                <w:tab w:val="left" w:pos="5400"/>
              </w:tabs>
              <w:rPr>
                <w:sz w:val="20"/>
              </w:rPr>
            </w:pPr>
            <w:r>
              <w:rPr>
                <w:rFonts w:hint="eastAsia"/>
                <w:sz w:val="20"/>
              </w:rPr>
              <w:t>Funding section: “This research was supported by the Medical Science and Technology Project of Zhejiang Province (NO. 2022KY1047, NO.2024KY1428).” Role of funders not stated. (Page 9)</w:t>
            </w:r>
          </w:p>
        </w:tc>
      </w:tr>
      <w:bookmarkEnd w:id="96"/>
      <w:bookmarkEnd w:id="97"/>
    </w:tbl>
    <w:p w14:paraId="303C140E">
      <w:pPr>
        <w:pStyle w:val="154"/>
        <w:tabs>
          <w:tab w:val="left" w:pos="5400"/>
        </w:tabs>
        <w:rPr>
          <w:bCs/>
          <w:sz w:val="20"/>
        </w:rPr>
      </w:pPr>
    </w:p>
    <w:p w14:paraId="07EF9E48">
      <w:pPr>
        <w:pStyle w:val="154"/>
        <w:tabs>
          <w:tab w:val="left" w:pos="5400"/>
        </w:tabs>
        <w:rPr>
          <w:sz w:val="20"/>
        </w:rPr>
      </w:pPr>
      <w:r>
        <w:rPr>
          <w:bCs/>
          <w:sz w:val="20"/>
        </w:rPr>
        <w:t>*</w:t>
      </w:r>
      <w:r>
        <w:rPr>
          <w:sz w:val="20"/>
        </w:rPr>
        <w:t>Give information separately for cases and controls in case-control studies and, if applicable, for exposed and unexposed groups in cohort and cross-sectional studies.</w:t>
      </w:r>
    </w:p>
    <w:p w14:paraId="2ACDEBFE">
      <w:pPr>
        <w:pStyle w:val="154"/>
        <w:tabs>
          <w:tab w:val="left" w:pos="5400"/>
        </w:tabs>
        <w:rPr>
          <w:sz w:val="20"/>
        </w:rPr>
      </w:pPr>
    </w:p>
    <w:p w14:paraId="130A933A">
      <w:pPr>
        <w:pStyle w:val="154"/>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footerReference r:id="rId5" w:type="default"/>
      <w:footerReference r:id="rId6" w:type="even"/>
      <w:pgSz w:w="11909" w:h="16834"/>
      <w:pgMar w:top="1134" w:right="1134" w:bottom="993"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1C68">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separate"/>
    </w:r>
    <w:r>
      <w:rPr>
        <w:rStyle w:val="78"/>
      </w:rPr>
      <w:t>1</w:t>
    </w:r>
    <w:r>
      <w:rPr>
        <w:rStyle w:val="78"/>
      </w:rPr>
      <w:fldChar w:fldCharType="end"/>
    </w:r>
  </w:p>
  <w:p w14:paraId="67F64C56">
    <w:pPr>
      <w:pStyle w:val="4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B5C70">
    <w:pPr>
      <w:pStyle w:val="49"/>
      <w:framePr w:wrap="around" w:vAnchor="text" w:hAnchor="margin" w:xAlign="center" w:y="1"/>
      <w:rPr>
        <w:rStyle w:val="78"/>
      </w:rPr>
    </w:pPr>
    <w:r>
      <w:rPr>
        <w:rStyle w:val="78"/>
      </w:rPr>
      <w:fldChar w:fldCharType="begin"/>
    </w:r>
    <w:r>
      <w:rPr>
        <w:rStyle w:val="78"/>
      </w:rPr>
      <w:instrText xml:space="preserve">PAGE  </w:instrText>
    </w:r>
    <w:r>
      <w:rPr>
        <w:rStyle w:val="78"/>
      </w:rPr>
      <w:fldChar w:fldCharType="end"/>
    </w:r>
  </w:p>
  <w:p w14:paraId="303470A7">
    <w:pPr>
      <w:pStyle w:val="4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4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5"/>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3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8"/>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2"/>
      <w:lvlText w:val=""/>
      <w:lvlJc w:val="left"/>
      <w:pPr>
        <w:tabs>
          <w:tab w:val="left" w:pos="360"/>
        </w:tabs>
        <w:ind w:left="360" w:hanging="360"/>
      </w:pPr>
      <w:rPr>
        <w:rFonts w:hint="default" w:ascii="Symbol" w:hAnsi="Symbol"/>
      </w:rPr>
    </w:lvl>
  </w:abstractNum>
  <w:abstractNum w:abstractNumId="10">
    <w:nsid w:val="019D1C5B"/>
    <w:multiLevelType w:val="multilevel"/>
    <w:tmpl w:val="019D1C5B"/>
    <w:lvl w:ilvl="0" w:tentative="0">
      <w:start w:val="1"/>
      <w:numFmt w:val="none"/>
      <w:pStyle w:val="118"/>
      <w:lvlText w:val="Fig Name - "/>
      <w:lvlJc w:val="left"/>
      <w:pPr>
        <w:tabs>
          <w:tab w:val="left" w:pos="2160"/>
        </w:tabs>
        <w:ind w:left="720" w:hanging="36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C26C30"/>
    <w:multiLevelType w:val="multilevel"/>
    <w:tmpl w:val="3AC26C30"/>
    <w:lvl w:ilvl="0" w:tentative="0">
      <w:start w:val="1"/>
      <w:numFmt w:val="none"/>
      <w:suff w:val="space"/>
      <w:lvlText w:val="Accepted:"/>
      <w:lvlJc w:val="left"/>
      <w:pPr>
        <w:ind w:left="0" w:firstLine="0"/>
      </w:pPr>
    </w:lvl>
    <w:lvl w:ilvl="1" w:tentative="0">
      <w:start w:val="1"/>
      <w:numFmt w:val="upperLetter"/>
      <w:pStyle w:val="4"/>
      <w:lvlText w:val="%2."/>
      <w:lvlJc w:val="left"/>
      <w:pPr>
        <w:tabs>
          <w:tab w:val="left" w:pos="1080"/>
        </w:tabs>
        <w:ind w:left="720" w:firstLine="0"/>
      </w:pPr>
    </w:lvl>
    <w:lvl w:ilvl="2" w:tentative="0">
      <w:start w:val="1"/>
      <w:numFmt w:val="decimal"/>
      <w:pStyle w:val="5"/>
      <w:lvlText w:val="%3."/>
      <w:lvlJc w:val="left"/>
      <w:pPr>
        <w:tabs>
          <w:tab w:val="left" w:pos="1800"/>
        </w:tabs>
        <w:ind w:left="1440" w:firstLine="0"/>
      </w:pPr>
    </w:lvl>
    <w:lvl w:ilvl="3" w:tentative="0">
      <w:start w:val="1"/>
      <w:numFmt w:val="lowerLetter"/>
      <w:pStyle w:val="6"/>
      <w:lvlText w:val="%4)"/>
      <w:lvlJc w:val="left"/>
      <w:pPr>
        <w:tabs>
          <w:tab w:val="left" w:pos="2520"/>
        </w:tabs>
        <w:ind w:left="2160" w:firstLine="0"/>
      </w:pPr>
    </w:lvl>
    <w:lvl w:ilvl="4" w:tentative="0">
      <w:start w:val="1"/>
      <w:numFmt w:val="decimal"/>
      <w:pStyle w:val="7"/>
      <w:lvlText w:val="(%5)"/>
      <w:lvlJc w:val="left"/>
      <w:pPr>
        <w:tabs>
          <w:tab w:val="left" w:pos="3240"/>
        </w:tabs>
        <w:ind w:left="2880" w:firstLine="0"/>
      </w:pPr>
    </w:lvl>
    <w:lvl w:ilvl="5" w:tentative="0">
      <w:start w:val="1"/>
      <w:numFmt w:val="lowerLetter"/>
      <w:pStyle w:val="8"/>
      <w:lvlText w:val="(%6)"/>
      <w:lvlJc w:val="left"/>
      <w:pPr>
        <w:tabs>
          <w:tab w:val="left" w:pos="3960"/>
        </w:tabs>
        <w:ind w:left="3600" w:firstLine="0"/>
      </w:pPr>
    </w:lvl>
    <w:lvl w:ilvl="6" w:tentative="0">
      <w:start w:val="1"/>
      <w:numFmt w:val="lowerRoman"/>
      <w:pStyle w:val="9"/>
      <w:lvlText w:val="(%7)"/>
      <w:lvlJc w:val="left"/>
      <w:pPr>
        <w:tabs>
          <w:tab w:val="left" w:pos="4680"/>
        </w:tabs>
        <w:ind w:left="4320" w:firstLine="0"/>
      </w:pPr>
    </w:lvl>
    <w:lvl w:ilvl="7" w:tentative="0">
      <w:start w:val="1"/>
      <w:numFmt w:val="lowerLetter"/>
      <w:pStyle w:val="10"/>
      <w:lvlText w:val="(%8)"/>
      <w:lvlJc w:val="left"/>
      <w:pPr>
        <w:tabs>
          <w:tab w:val="left" w:pos="5400"/>
        </w:tabs>
        <w:ind w:left="5040" w:firstLine="0"/>
      </w:pPr>
    </w:lvl>
    <w:lvl w:ilvl="8" w:tentative="0">
      <w:start w:val="1"/>
      <w:numFmt w:val="lowerRoman"/>
      <w:pStyle w:val="11"/>
      <w:lvlText w:val="(%9)"/>
      <w:lvlJc w:val="left"/>
      <w:pPr>
        <w:tabs>
          <w:tab w:val="left" w:pos="6120"/>
        </w:tabs>
        <w:ind w:left="5760" w:firstLine="0"/>
      </w:pPr>
    </w:lvl>
  </w:abstractNum>
  <w:abstractNum w:abstractNumId="12">
    <w:nsid w:val="3BE331A9"/>
    <w:multiLevelType w:val="multilevel"/>
    <w:tmpl w:val="3BE331A9"/>
    <w:lvl w:ilvl="0" w:tentative="0">
      <w:start w:val="1"/>
      <w:numFmt w:val="decimal"/>
      <w:pStyle w:val="159"/>
      <w:lvlText w:val="w%1."/>
      <w:lvlJc w:val="left"/>
      <w:pPr>
        <w:tabs>
          <w:tab w:val="left" w:pos="180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3">
    <w:nsid w:val="56A360E7"/>
    <w:multiLevelType w:val="multilevel"/>
    <w:tmpl w:val="56A360E7"/>
    <w:lvl w:ilvl="0" w:tentative="0">
      <w:start w:val="1"/>
      <w:numFmt w:val="decimal"/>
      <w:pStyle w:val="144"/>
      <w:lvlText w:val="%1."/>
      <w:lvlJc w:val="right"/>
      <w:pPr>
        <w:tabs>
          <w:tab w:val="left" w:pos="454"/>
        </w:tabs>
        <w:ind w:left="454" w:hanging="170"/>
      </w:pPr>
      <w:rPr>
        <w:rFonts w:hint="default"/>
      </w:rPr>
    </w:lvl>
    <w:lvl w:ilvl="1" w:tentative="0">
      <w:start w:val="1"/>
      <w:numFmt w:val="lowerLetter"/>
      <w:lvlText w:val="%2."/>
      <w:lvlJc w:val="left"/>
      <w:pPr>
        <w:tabs>
          <w:tab w:val="left" w:pos="1080"/>
        </w:tabs>
        <w:ind w:left="1080" w:hanging="360"/>
      </w:pPr>
      <w:rPr>
        <w:rFonts w:hint="default"/>
      </w:rPr>
    </w:lvl>
    <w:lvl w:ilvl="2" w:tentative="0">
      <w:start w:val="1"/>
      <w:numFmt w:val="lowerRoman"/>
      <w:lvlText w:val="%3."/>
      <w:lvlJc w:val="right"/>
      <w:pPr>
        <w:tabs>
          <w:tab w:val="left" w:pos="1800"/>
        </w:tabs>
        <w:ind w:left="1800" w:hanging="180"/>
      </w:pPr>
      <w:rPr>
        <w:rFonts w:hint="default"/>
      </w:rPr>
    </w:lvl>
    <w:lvl w:ilvl="3" w:tentative="0">
      <w:start w:val="1"/>
      <w:numFmt w:val="decimal"/>
      <w:lvlText w:val="%4."/>
      <w:lvlJc w:val="left"/>
      <w:pPr>
        <w:tabs>
          <w:tab w:val="left" w:pos="2520"/>
        </w:tabs>
        <w:ind w:left="2520" w:hanging="360"/>
      </w:pPr>
      <w:rPr>
        <w:rFonts w:hint="default"/>
      </w:rPr>
    </w:lvl>
    <w:lvl w:ilvl="4" w:tentative="0">
      <w:start w:val="1"/>
      <w:numFmt w:val="lowerLetter"/>
      <w:lvlText w:val="%5."/>
      <w:lvlJc w:val="left"/>
      <w:pPr>
        <w:tabs>
          <w:tab w:val="left" w:pos="3240"/>
        </w:tabs>
        <w:ind w:left="3240" w:hanging="360"/>
      </w:pPr>
      <w:rPr>
        <w:rFonts w:hint="default"/>
      </w:rPr>
    </w:lvl>
    <w:lvl w:ilvl="5" w:tentative="0">
      <w:start w:val="1"/>
      <w:numFmt w:val="lowerRoman"/>
      <w:lvlText w:val="%6."/>
      <w:lvlJc w:val="right"/>
      <w:pPr>
        <w:tabs>
          <w:tab w:val="left" w:pos="3960"/>
        </w:tabs>
        <w:ind w:left="3960" w:hanging="180"/>
      </w:pPr>
      <w:rPr>
        <w:rFonts w:hint="default"/>
      </w:rPr>
    </w:lvl>
    <w:lvl w:ilvl="6" w:tentative="0">
      <w:start w:val="1"/>
      <w:numFmt w:val="decimal"/>
      <w:lvlText w:val="%7."/>
      <w:lvlJc w:val="left"/>
      <w:pPr>
        <w:tabs>
          <w:tab w:val="left" w:pos="4680"/>
        </w:tabs>
        <w:ind w:left="4680" w:hanging="360"/>
      </w:pPr>
      <w:rPr>
        <w:rFonts w:hint="default"/>
      </w:rPr>
    </w:lvl>
    <w:lvl w:ilvl="7" w:tentative="0">
      <w:start w:val="1"/>
      <w:numFmt w:val="lowerLetter"/>
      <w:lvlText w:val="%8."/>
      <w:lvlJc w:val="left"/>
      <w:pPr>
        <w:tabs>
          <w:tab w:val="left" w:pos="5400"/>
        </w:tabs>
        <w:ind w:left="5400" w:hanging="360"/>
      </w:pPr>
      <w:rPr>
        <w:rFonts w:hint="default"/>
      </w:rPr>
    </w:lvl>
    <w:lvl w:ilvl="8" w:tentative="0">
      <w:start w:val="1"/>
      <w:numFmt w:val="lowerRoman"/>
      <w:lvlText w:val="%9."/>
      <w:lvlJc w:val="right"/>
      <w:pPr>
        <w:tabs>
          <w:tab w:val="left" w:pos="6120"/>
        </w:tabs>
        <w:ind w:left="6120" w:hanging="180"/>
      </w:pPr>
      <w:rPr>
        <w:rFonts w:hint="default"/>
      </w:rPr>
    </w:lvl>
  </w:abstractNum>
  <w:abstractNum w:abstractNumId="14">
    <w:nsid w:val="6160701F"/>
    <w:multiLevelType w:val="multilevel"/>
    <w:tmpl w:val="6160701F"/>
    <w:lvl w:ilvl="0" w:tentative="0">
      <w:start w:val="1"/>
      <w:numFmt w:val="decimal"/>
      <w:pStyle w:val="153"/>
      <w:lvlText w:val="Table %1 - "/>
      <w:lvlJc w:val="left"/>
      <w:pPr>
        <w:tabs>
          <w:tab w:val="left" w:pos="1440"/>
        </w:tabs>
        <w:ind w:left="0" w:firstLine="0"/>
      </w:pPr>
      <w:rPr>
        <w:rFonts w:hint="default"/>
        <w:color w:val="0000FF"/>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 w:val="0E2F5FBF"/>
    <w:rsid w:val="11A75D0F"/>
    <w:rsid w:val="26DF3073"/>
    <w:rsid w:val="334F3570"/>
    <w:rsid w:val="7D456FBF"/>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name="index 3"/>
    <w:lsdException w:unhideWhenUsed="0" w:uiPriority="0" w:name="index 4"/>
    <w:lsdException w:unhideWhenUsed="0" w:uiPriority="0" w:name="index 5"/>
    <w:lsdException w:unhideWhenUsed="0" w:uiPriority="0" w:name="index 6"/>
    <w:lsdException w:qFormat="1" w:unhideWhenUsed="0" w:uiPriority="0" w:name="index 7"/>
    <w:lsdException w:qFormat="1" w:unhideWhenUsed="0" w:uiPriority="0" w:name="index 8"/>
    <w:lsdException w:qFormat="1" w:unhideWhenUsed="0"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qFormat="1"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Times New Roman" w:cs="Times New Roman"/>
      <w:sz w:val="24"/>
      <w:lang w:val="en-GB" w:eastAsia="en-US" w:bidi="ar-SA"/>
    </w:rPr>
  </w:style>
  <w:style w:type="paragraph" w:styleId="3">
    <w:name w:val="heading 1"/>
    <w:basedOn w:val="1"/>
    <w:next w:val="1"/>
    <w:qFormat/>
    <w:uiPriority w:val="0"/>
    <w:pPr>
      <w:keepNext/>
      <w:spacing w:before="240" w:after="60"/>
      <w:outlineLvl w:val="0"/>
    </w:pPr>
    <w:rPr>
      <w:rFonts w:ascii="Arial" w:hAnsi="Arial"/>
      <w:b/>
      <w:bCs/>
      <w:kern w:val="32"/>
      <w:sz w:val="32"/>
      <w:szCs w:val="32"/>
    </w:rPr>
  </w:style>
  <w:style w:type="paragraph" w:styleId="4">
    <w:name w:val="heading 2"/>
    <w:basedOn w:val="1"/>
    <w:next w:val="1"/>
    <w:qFormat/>
    <w:uiPriority w:val="0"/>
    <w:pPr>
      <w:keepNext/>
      <w:numPr>
        <w:ilvl w:val="1"/>
        <w:numId w:val="1"/>
      </w:numPr>
      <w:spacing w:before="240" w:after="60" w:line="240" w:lineRule="auto"/>
      <w:outlineLvl w:val="1"/>
    </w:pPr>
    <w:rPr>
      <w:rFonts w:ascii="Arial" w:hAnsi="Arial"/>
      <w:b/>
      <w:i/>
    </w:rPr>
  </w:style>
  <w:style w:type="paragraph" w:styleId="5">
    <w:name w:val="heading 3"/>
    <w:basedOn w:val="1"/>
    <w:next w:val="1"/>
    <w:qFormat/>
    <w:uiPriority w:val="0"/>
    <w:pPr>
      <w:keepNext/>
      <w:numPr>
        <w:ilvl w:val="2"/>
        <w:numId w:val="1"/>
      </w:numPr>
      <w:spacing w:before="240" w:after="60" w:line="240" w:lineRule="auto"/>
      <w:outlineLvl w:val="2"/>
    </w:pPr>
    <w:rPr>
      <w:rFonts w:ascii="Arial" w:hAnsi="Arial"/>
    </w:rPr>
  </w:style>
  <w:style w:type="paragraph" w:styleId="6">
    <w:name w:val="heading 4"/>
    <w:basedOn w:val="1"/>
    <w:next w:val="1"/>
    <w:qFormat/>
    <w:uiPriority w:val="0"/>
    <w:pPr>
      <w:keepNext/>
      <w:numPr>
        <w:ilvl w:val="3"/>
        <w:numId w:val="1"/>
      </w:numPr>
      <w:spacing w:before="240" w:after="60" w:line="240" w:lineRule="auto"/>
      <w:outlineLvl w:val="3"/>
    </w:pPr>
    <w:rPr>
      <w:rFonts w:ascii="Arial" w:hAnsi="Arial"/>
      <w:b/>
    </w:rPr>
  </w:style>
  <w:style w:type="paragraph" w:styleId="7">
    <w:name w:val="heading 5"/>
    <w:basedOn w:val="1"/>
    <w:next w:val="1"/>
    <w:qFormat/>
    <w:uiPriority w:val="0"/>
    <w:pPr>
      <w:numPr>
        <w:ilvl w:val="4"/>
        <w:numId w:val="1"/>
      </w:numPr>
      <w:spacing w:before="240" w:after="60" w:line="240" w:lineRule="auto"/>
      <w:outlineLvl w:val="4"/>
    </w:pPr>
    <w:rPr>
      <w:sz w:val="22"/>
    </w:rPr>
  </w:style>
  <w:style w:type="paragraph" w:styleId="8">
    <w:name w:val="heading 6"/>
    <w:basedOn w:val="1"/>
    <w:next w:val="1"/>
    <w:qFormat/>
    <w:uiPriority w:val="0"/>
    <w:pPr>
      <w:numPr>
        <w:ilvl w:val="5"/>
        <w:numId w:val="1"/>
      </w:numPr>
      <w:spacing w:before="240" w:after="60" w:line="240" w:lineRule="auto"/>
      <w:outlineLvl w:val="5"/>
    </w:pPr>
    <w:rPr>
      <w:i/>
      <w:sz w:val="22"/>
    </w:rPr>
  </w:style>
  <w:style w:type="paragraph" w:styleId="9">
    <w:name w:val="heading 7"/>
    <w:basedOn w:val="1"/>
    <w:next w:val="1"/>
    <w:qFormat/>
    <w:uiPriority w:val="0"/>
    <w:pPr>
      <w:numPr>
        <w:ilvl w:val="6"/>
        <w:numId w:val="1"/>
      </w:numPr>
      <w:spacing w:before="240" w:after="60" w:line="240" w:lineRule="auto"/>
      <w:outlineLvl w:val="6"/>
    </w:pPr>
    <w:rPr>
      <w:rFonts w:ascii="Arial" w:hAnsi="Arial"/>
      <w:sz w:val="20"/>
    </w:rPr>
  </w:style>
  <w:style w:type="paragraph" w:styleId="10">
    <w:name w:val="heading 8"/>
    <w:basedOn w:val="1"/>
    <w:next w:val="1"/>
    <w:qFormat/>
    <w:uiPriority w:val="0"/>
    <w:pPr>
      <w:numPr>
        <w:ilvl w:val="7"/>
        <w:numId w:val="1"/>
      </w:numPr>
      <w:spacing w:before="240" w:after="60" w:line="240" w:lineRule="auto"/>
      <w:outlineLvl w:val="7"/>
    </w:pPr>
    <w:rPr>
      <w:rFonts w:ascii="Arial" w:hAnsi="Arial"/>
      <w:i/>
      <w:sz w:val="20"/>
    </w:rPr>
  </w:style>
  <w:style w:type="paragraph" w:styleId="11">
    <w:name w:val="heading 9"/>
    <w:basedOn w:val="1"/>
    <w:next w:val="1"/>
    <w:qFormat/>
    <w:uiPriority w:val="0"/>
    <w:pPr>
      <w:numPr>
        <w:ilvl w:val="8"/>
        <w:numId w:val="1"/>
      </w:numPr>
      <w:spacing w:before="240" w:after="60" w:line="240" w:lineRule="auto"/>
      <w:outlineLvl w:val="8"/>
    </w:pPr>
    <w:rPr>
      <w:rFonts w:ascii="Arial" w:hAnsi="Arial"/>
      <w:b/>
      <w:i/>
      <w:sz w:val="18"/>
    </w:rPr>
  </w:style>
  <w:style w:type="character" w:default="1" w:styleId="76">
    <w:name w:val="Default Paragraph Font"/>
    <w:semiHidden/>
    <w:unhideWhenUsed/>
    <w:qFormat/>
    <w:uiPriority w:val="1"/>
  </w:style>
  <w:style w:type="table" w:default="1" w:styleId="75">
    <w:name w:val="Normal Table"/>
    <w:semiHidden/>
    <w:unhideWhenUsed/>
    <w:qFormat/>
    <w:uiPriority w:val="99"/>
    <w:tblPr>
      <w:tblCellMar>
        <w:top w:w="0" w:type="dxa"/>
        <w:left w:w="108" w:type="dxa"/>
        <w:bottom w:w="0" w:type="dxa"/>
        <w:right w:w="108" w:type="dxa"/>
      </w:tblCellMar>
    </w:tblPr>
  </w:style>
  <w:style w:type="paragraph" w:styleId="2">
    <w:name w:val="macro"/>
    <w:semiHidden/>
    <w:uiPriority w:val="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eastAsia="Times New Roman" w:cs="Times New Roman"/>
      <w:lang w:val="en-GB" w:eastAsia="en-US" w:bidi="ar-SA"/>
    </w:rPr>
  </w:style>
  <w:style w:type="paragraph" w:styleId="12">
    <w:name w:val="List 3"/>
    <w:basedOn w:val="1"/>
    <w:qFormat/>
    <w:uiPriority w:val="0"/>
    <w:pPr>
      <w:ind w:left="849" w:hanging="283"/>
    </w:pPr>
  </w:style>
  <w:style w:type="paragraph" w:styleId="13">
    <w:name w:val="List Number 2"/>
    <w:basedOn w:val="1"/>
    <w:uiPriority w:val="0"/>
    <w:pPr>
      <w:numPr>
        <w:ilvl w:val="0"/>
        <w:numId w:val="2"/>
      </w:numPr>
    </w:pPr>
  </w:style>
  <w:style w:type="paragraph" w:styleId="14">
    <w:name w:val="Note Heading"/>
    <w:basedOn w:val="1"/>
    <w:next w:val="1"/>
    <w:uiPriority w:val="0"/>
  </w:style>
  <w:style w:type="paragraph" w:styleId="15">
    <w:name w:val="List Bullet 4"/>
    <w:basedOn w:val="1"/>
    <w:autoRedefine/>
    <w:qFormat/>
    <w:uiPriority w:val="0"/>
    <w:pPr>
      <w:numPr>
        <w:ilvl w:val="0"/>
        <w:numId w:val="3"/>
      </w:numPr>
    </w:pPr>
  </w:style>
  <w:style w:type="paragraph" w:styleId="16">
    <w:name w:val="index 8"/>
    <w:basedOn w:val="1"/>
    <w:next w:val="1"/>
    <w:autoRedefine/>
    <w:semiHidden/>
    <w:qFormat/>
    <w:uiPriority w:val="0"/>
    <w:pPr>
      <w:ind w:left="1920" w:hanging="240"/>
    </w:pPr>
  </w:style>
  <w:style w:type="paragraph" w:styleId="17">
    <w:name w:val="E-mail Signature"/>
    <w:basedOn w:val="1"/>
    <w:uiPriority w:val="0"/>
  </w:style>
  <w:style w:type="paragraph" w:styleId="18">
    <w:name w:val="List Number"/>
    <w:basedOn w:val="1"/>
    <w:uiPriority w:val="0"/>
    <w:pPr>
      <w:numPr>
        <w:ilvl w:val="0"/>
        <w:numId w:val="4"/>
      </w:numPr>
    </w:pPr>
  </w:style>
  <w:style w:type="paragraph" w:styleId="19">
    <w:name w:val="Normal Indent"/>
    <w:basedOn w:val="1"/>
    <w:qFormat/>
    <w:uiPriority w:val="0"/>
    <w:pPr>
      <w:ind w:left="720"/>
    </w:pPr>
  </w:style>
  <w:style w:type="paragraph" w:styleId="20">
    <w:name w:val="caption"/>
    <w:basedOn w:val="1"/>
    <w:next w:val="1"/>
    <w:qFormat/>
    <w:uiPriority w:val="0"/>
    <w:pPr>
      <w:spacing w:before="120" w:after="120" w:line="240" w:lineRule="auto"/>
    </w:pPr>
    <w:rPr>
      <w:b/>
      <w:sz w:val="20"/>
    </w:rPr>
  </w:style>
  <w:style w:type="paragraph" w:styleId="21">
    <w:name w:val="index 5"/>
    <w:basedOn w:val="1"/>
    <w:next w:val="1"/>
    <w:autoRedefine/>
    <w:semiHidden/>
    <w:uiPriority w:val="0"/>
    <w:pPr>
      <w:ind w:left="1200" w:hanging="240"/>
    </w:pPr>
  </w:style>
  <w:style w:type="paragraph" w:styleId="22">
    <w:name w:val="List Bullet"/>
    <w:basedOn w:val="1"/>
    <w:autoRedefine/>
    <w:uiPriority w:val="0"/>
    <w:pPr>
      <w:numPr>
        <w:ilvl w:val="0"/>
        <w:numId w:val="5"/>
      </w:numPr>
      <w:spacing w:line="240" w:lineRule="auto"/>
    </w:pPr>
  </w:style>
  <w:style w:type="paragraph" w:styleId="23">
    <w:name w:val="envelope address"/>
    <w:basedOn w:val="1"/>
    <w:uiPriority w:val="0"/>
    <w:pPr>
      <w:framePr w:w="7920" w:h="1980" w:hRule="exact" w:hSpace="180" w:wrap="auto" w:vAnchor="margin" w:hAnchor="page" w:xAlign="center" w:yAlign="bottom"/>
      <w:ind w:left="2880"/>
    </w:pPr>
    <w:rPr>
      <w:rFonts w:ascii="Arial" w:hAnsi="Arial"/>
      <w:szCs w:val="24"/>
    </w:rPr>
  </w:style>
  <w:style w:type="paragraph" w:styleId="24">
    <w:name w:val="Document Map"/>
    <w:basedOn w:val="1"/>
    <w:semiHidden/>
    <w:uiPriority w:val="0"/>
    <w:pPr>
      <w:shd w:val="clear" w:color="auto" w:fill="000080"/>
    </w:pPr>
    <w:rPr>
      <w:rFonts w:ascii="Tahoma" w:hAnsi="Tahoma" w:cs="Tahoma"/>
    </w:rPr>
  </w:style>
  <w:style w:type="paragraph" w:styleId="25">
    <w:name w:val="annotation text"/>
    <w:basedOn w:val="1"/>
    <w:semiHidden/>
    <w:uiPriority w:val="0"/>
    <w:pPr>
      <w:spacing w:line="240" w:lineRule="auto"/>
    </w:pPr>
    <w:rPr>
      <w:sz w:val="20"/>
    </w:rPr>
  </w:style>
  <w:style w:type="paragraph" w:styleId="26">
    <w:name w:val="index 6"/>
    <w:basedOn w:val="1"/>
    <w:next w:val="1"/>
    <w:autoRedefine/>
    <w:semiHidden/>
    <w:uiPriority w:val="0"/>
    <w:pPr>
      <w:ind w:left="1440" w:hanging="240"/>
    </w:pPr>
  </w:style>
  <w:style w:type="paragraph" w:styleId="27">
    <w:name w:val="Salutation"/>
    <w:basedOn w:val="1"/>
    <w:next w:val="1"/>
    <w:uiPriority w:val="0"/>
  </w:style>
  <w:style w:type="paragraph" w:styleId="28">
    <w:name w:val="Body Text 3"/>
    <w:basedOn w:val="1"/>
    <w:uiPriority w:val="0"/>
    <w:pPr>
      <w:spacing w:after="120"/>
    </w:pPr>
    <w:rPr>
      <w:sz w:val="16"/>
      <w:szCs w:val="16"/>
    </w:rPr>
  </w:style>
  <w:style w:type="paragraph" w:styleId="29">
    <w:name w:val="Closing"/>
    <w:basedOn w:val="1"/>
    <w:uiPriority w:val="0"/>
    <w:pPr>
      <w:ind w:left="4252"/>
    </w:pPr>
  </w:style>
  <w:style w:type="paragraph" w:styleId="30">
    <w:name w:val="List Bullet 3"/>
    <w:basedOn w:val="1"/>
    <w:autoRedefine/>
    <w:uiPriority w:val="0"/>
    <w:pPr>
      <w:numPr>
        <w:ilvl w:val="0"/>
        <w:numId w:val="6"/>
      </w:numPr>
    </w:pPr>
  </w:style>
  <w:style w:type="paragraph" w:styleId="31">
    <w:name w:val="Body Text"/>
    <w:basedOn w:val="1"/>
    <w:uiPriority w:val="0"/>
    <w:pPr>
      <w:spacing w:after="120"/>
    </w:pPr>
  </w:style>
  <w:style w:type="paragraph" w:styleId="32">
    <w:name w:val="Body Text Indent"/>
    <w:basedOn w:val="1"/>
    <w:qFormat/>
    <w:uiPriority w:val="0"/>
    <w:pPr>
      <w:spacing w:after="120"/>
      <w:ind w:left="283"/>
    </w:pPr>
  </w:style>
  <w:style w:type="paragraph" w:styleId="33">
    <w:name w:val="List Number 3"/>
    <w:basedOn w:val="1"/>
    <w:uiPriority w:val="0"/>
    <w:pPr>
      <w:numPr>
        <w:ilvl w:val="0"/>
        <w:numId w:val="7"/>
      </w:numPr>
    </w:pPr>
  </w:style>
  <w:style w:type="paragraph" w:styleId="34">
    <w:name w:val="List 2"/>
    <w:basedOn w:val="1"/>
    <w:uiPriority w:val="0"/>
    <w:pPr>
      <w:ind w:left="566" w:hanging="283"/>
    </w:pPr>
  </w:style>
  <w:style w:type="paragraph" w:styleId="35">
    <w:name w:val="List Continue"/>
    <w:basedOn w:val="1"/>
    <w:uiPriority w:val="0"/>
    <w:pPr>
      <w:spacing w:after="120"/>
      <w:ind w:left="283"/>
    </w:pPr>
  </w:style>
  <w:style w:type="paragraph" w:styleId="36">
    <w:name w:val="Block Text"/>
    <w:basedOn w:val="1"/>
    <w:uiPriority w:val="0"/>
    <w:pPr>
      <w:spacing w:after="120"/>
      <w:ind w:left="1440" w:right="1440"/>
    </w:pPr>
  </w:style>
  <w:style w:type="paragraph" w:styleId="37">
    <w:name w:val="List Bullet 2"/>
    <w:basedOn w:val="1"/>
    <w:autoRedefine/>
    <w:uiPriority w:val="0"/>
    <w:pPr>
      <w:numPr>
        <w:ilvl w:val="0"/>
        <w:numId w:val="8"/>
      </w:numPr>
    </w:pPr>
  </w:style>
  <w:style w:type="paragraph" w:styleId="38">
    <w:name w:val="HTML Address"/>
    <w:basedOn w:val="1"/>
    <w:uiPriority w:val="0"/>
    <w:rPr>
      <w:i/>
      <w:iCs/>
    </w:rPr>
  </w:style>
  <w:style w:type="paragraph" w:styleId="39">
    <w:name w:val="index 4"/>
    <w:basedOn w:val="1"/>
    <w:next w:val="1"/>
    <w:autoRedefine/>
    <w:semiHidden/>
    <w:uiPriority w:val="0"/>
    <w:pPr>
      <w:ind w:left="960" w:hanging="240"/>
    </w:pPr>
  </w:style>
  <w:style w:type="paragraph" w:styleId="40">
    <w:name w:val="Plain Text"/>
    <w:basedOn w:val="1"/>
    <w:qFormat/>
    <w:uiPriority w:val="0"/>
    <w:rPr>
      <w:rFonts w:ascii="Courier New" w:hAnsi="Courier New"/>
      <w:sz w:val="20"/>
    </w:rPr>
  </w:style>
  <w:style w:type="paragraph" w:styleId="41">
    <w:name w:val="List Bullet 5"/>
    <w:basedOn w:val="1"/>
    <w:autoRedefine/>
    <w:qFormat/>
    <w:uiPriority w:val="0"/>
    <w:pPr>
      <w:numPr>
        <w:ilvl w:val="0"/>
        <w:numId w:val="9"/>
      </w:numPr>
    </w:pPr>
  </w:style>
  <w:style w:type="paragraph" w:styleId="42">
    <w:name w:val="List Number 4"/>
    <w:basedOn w:val="1"/>
    <w:qFormat/>
    <w:uiPriority w:val="0"/>
    <w:pPr>
      <w:numPr>
        <w:ilvl w:val="0"/>
        <w:numId w:val="10"/>
      </w:numPr>
    </w:pPr>
  </w:style>
  <w:style w:type="paragraph" w:styleId="43">
    <w:name w:val="index 3"/>
    <w:basedOn w:val="1"/>
    <w:next w:val="1"/>
    <w:autoRedefine/>
    <w:semiHidden/>
    <w:uiPriority w:val="0"/>
    <w:pPr>
      <w:ind w:left="720" w:hanging="240"/>
    </w:pPr>
  </w:style>
  <w:style w:type="paragraph" w:styleId="44">
    <w:name w:val="Date"/>
    <w:basedOn w:val="1"/>
    <w:next w:val="1"/>
    <w:qFormat/>
    <w:uiPriority w:val="0"/>
    <w:pPr>
      <w:spacing w:line="240" w:lineRule="auto"/>
    </w:pPr>
  </w:style>
  <w:style w:type="paragraph" w:styleId="45">
    <w:name w:val="Body Text Indent 2"/>
    <w:basedOn w:val="1"/>
    <w:qFormat/>
    <w:uiPriority w:val="0"/>
    <w:pPr>
      <w:spacing w:after="120" w:line="480" w:lineRule="auto"/>
      <w:ind w:left="283"/>
    </w:pPr>
  </w:style>
  <w:style w:type="paragraph" w:styleId="46">
    <w:name w:val="endnote text"/>
    <w:basedOn w:val="1"/>
    <w:semiHidden/>
    <w:qFormat/>
    <w:uiPriority w:val="0"/>
    <w:pPr>
      <w:spacing w:line="240" w:lineRule="auto"/>
    </w:pPr>
    <w:rPr>
      <w:sz w:val="20"/>
    </w:rPr>
  </w:style>
  <w:style w:type="paragraph" w:styleId="47">
    <w:name w:val="List Continue 5"/>
    <w:basedOn w:val="1"/>
    <w:qFormat/>
    <w:uiPriority w:val="0"/>
    <w:pPr>
      <w:spacing w:after="120"/>
      <w:ind w:left="1415"/>
    </w:pPr>
  </w:style>
  <w:style w:type="paragraph" w:styleId="48">
    <w:name w:val="Balloon Text"/>
    <w:basedOn w:val="1"/>
    <w:semiHidden/>
    <w:qFormat/>
    <w:uiPriority w:val="0"/>
    <w:rPr>
      <w:rFonts w:ascii="Tahoma" w:hAnsi="Tahoma" w:cs="Tahoma"/>
      <w:sz w:val="16"/>
      <w:szCs w:val="16"/>
    </w:rPr>
  </w:style>
  <w:style w:type="paragraph" w:styleId="49">
    <w:name w:val="footer"/>
    <w:basedOn w:val="1"/>
    <w:qFormat/>
    <w:uiPriority w:val="0"/>
    <w:pPr>
      <w:tabs>
        <w:tab w:val="center" w:pos="4153"/>
        <w:tab w:val="right" w:pos="8306"/>
      </w:tabs>
      <w:spacing w:line="240" w:lineRule="auto"/>
    </w:pPr>
    <w:rPr>
      <w:rFonts w:ascii="Arial" w:hAnsi="Arial"/>
      <w:sz w:val="20"/>
    </w:rPr>
  </w:style>
  <w:style w:type="paragraph" w:styleId="50">
    <w:name w:val="envelope return"/>
    <w:basedOn w:val="1"/>
    <w:qFormat/>
    <w:uiPriority w:val="0"/>
    <w:rPr>
      <w:rFonts w:ascii="Arial" w:hAnsi="Arial"/>
      <w:sz w:val="20"/>
    </w:rPr>
  </w:style>
  <w:style w:type="paragraph" w:styleId="51">
    <w:name w:val="header"/>
    <w:basedOn w:val="1"/>
    <w:qFormat/>
    <w:uiPriority w:val="0"/>
    <w:pPr>
      <w:tabs>
        <w:tab w:val="center" w:pos="4153"/>
        <w:tab w:val="right" w:pos="8306"/>
      </w:tabs>
      <w:spacing w:line="240" w:lineRule="auto"/>
    </w:pPr>
    <w:rPr>
      <w:sz w:val="18"/>
    </w:rPr>
  </w:style>
  <w:style w:type="paragraph" w:styleId="52">
    <w:name w:val="List Continue 4"/>
    <w:basedOn w:val="1"/>
    <w:uiPriority w:val="0"/>
    <w:pPr>
      <w:spacing w:after="120"/>
      <w:ind w:left="1132"/>
    </w:pPr>
  </w:style>
  <w:style w:type="paragraph" w:styleId="53">
    <w:name w:val="index heading"/>
    <w:basedOn w:val="1"/>
    <w:next w:val="54"/>
    <w:semiHidden/>
    <w:qFormat/>
    <w:uiPriority w:val="0"/>
    <w:rPr>
      <w:rFonts w:ascii="Arial" w:hAnsi="Arial"/>
      <w:b/>
      <w:bCs/>
    </w:rPr>
  </w:style>
  <w:style w:type="paragraph" w:styleId="54">
    <w:name w:val="index 1"/>
    <w:basedOn w:val="1"/>
    <w:next w:val="1"/>
    <w:autoRedefine/>
    <w:semiHidden/>
    <w:uiPriority w:val="0"/>
    <w:pPr>
      <w:ind w:left="240" w:hanging="240"/>
    </w:pPr>
  </w:style>
  <w:style w:type="paragraph" w:styleId="55">
    <w:name w:val="Subtitle"/>
    <w:basedOn w:val="1"/>
    <w:qFormat/>
    <w:uiPriority w:val="0"/>
    <w:pPr>
      <w:spacing w:after="60"/>
      <w:outlineLvl w:val="1"/>
    </w:pPr>
    <w:rPr>
      <w:i/>
    </w:rPr>
  </w:style>
  <w:style w:type="paragraph" w:styleId="56">
    <w:name w:val="List Number 5"/>
    <w:basedOn w:val="1"/>
    <w:qFormat/>
    <w:uiPriority w:val="0"/>
    <w:pPr>
      <w:numPr>
        <w:ilvl w:val="0"/>
        <w:numId w:val="11"/>
      </w:numPr>
    </w:pPr>
  </w:style>
  <w:style w:type="paragraph" w:styleId="57">
    <w:name w:val="List"/>
    <w:basedOn w:val="1"/>
    <w:qFormat/>
    <w:uiPriority w:val="0"/>
    <w:pPr>
      <w:ind w:left="283" w:hanging="283"/>
    </w:pPr>
  </w:style>
  <w:style w:type="paragraph" w:styleId="58">
    <w:name w:val="footnote text"/>
    <w:basedOn w:val="1"/>
    <w:semiHidden/>
    <w:qFormat/>
    <w:uiPriority w:val="0"/>
    <w:pPr>
      <w:spacing w:line="240" w:lineRule="auto"/>
    </w:pPr>
    <w:rPr>
      <w:sz w:val="20"/>
    </w:rPr>
  </w:style>
  <w:style w:type="paragraph" w:styleId="59">
    <w:name w:val="List 5"/>
    <w:basedOn w:val="1"/>
    <w:qFormat/>
    <w:uiPriority w:val="0"/>
    <w:pPr>
      <w:ind w:left="1415" w:hanging="283"/>
    </w:pPr>
  </w:style>
  <w:style w:type="paragraph" w:styleId="60">
    <w:name w:val="Body Text Indent 3"/>
    <w:basedOn w:val="1"/>
    <w:qFormat/>
    <w:uiPriority w:val="0"/>
    <w:pPr>
      <w:spacing w:after="120"/>
      <w:ind w:left="283"/>
    </w:pPr>
    <w:rPr>
      <w:sz w:val="16"/>
      <w:szCs w:val="16"/>
    </w:rPr>
  </w:style>
  <w:style w:type="paragraph" w:styleId="61">
    <w:name w:val="index 7"/>
    <w:basedOn w:val="1"/>
    <w:next w:val="1"/>
    <w:autoRedefine/>
    <w:semiHidden/>
    <w:qFormat/>
    <w:uiPriority w:val="0"/>
    <w:pPr>
      <w:ind w:left="1680" w:hanging="240"/>
    </w:pPr>
  </w:style>
  <w:style w:type="paragraph" w:styleId="62">
    <w:name w:val="index 9"/>
    <w:basedOn w:val="1"/>
    <w:next w:val="1"/>
    <w:autoRedefine/>
    <w:semiHidden/>
    <w:qFormat/>
    <w:uiPriority w:val="0"/>
    <w:pPr>
      <w:ind w:left="2160" w:hanging="240"/>
    </w:pPr>
  </w:style>
  <w:style w:type="paragraph" w:styleId="63">
    <w:name w:val="Body Text 2"/>
    <w:basedOn w:val="1"/>
    <w:qFormat/>
    <w:uiPriority w:val="0"/>
    <w:pPr>
      <w:spacing w:after="120" w:line="480" w:lineRule="auto"/>
    </w:pPr>
  </w:style>
  <w:style w:type="paragraph" w:styleId="64">
    <w:name w:val="List 4"/>
    <w:basedOn w:val="1"/>
    <w:qFormat/>
    <w:uiPriority w:val="0"/>
    <w:pPr>
      <w:ind w:left="1132" w:hanging="283"/>
    </w:pPr>
  </w:style>
  <w:style w:type="paragraph" w:styleId="65">
    <w:name w:val="List Continue 2"/>
    <w:basedOn w:val="1"/>
    <w:qFormat/>
    <w:uiPriority w:val="0"/>
    <w:pPr>
      <w:spacing w:after="120"/>
      <w:ind w:left="566"/>
    </w:pPr>
  </w:style>
  <w:style w:type="paragraph" w:styleId="6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szCs w:val="24"/>
    </w:rPr>
  </w:style>
  <w:style w:type="paragraph" w:styleId="67">
    <w:name w:val="HTML Preformatted"/>
    <w:basedOn w:val="1"/>
    <w:qFormat/>
    <w:uiPriority w:val="0"/>
    <w:rPr>
      <w:rFonts w:ascii="Courier New" w:hAnsi="Courier New"/>
      <w:sz w:val="20"/>
    </w:rPr>
  </w:style>
  <w:style w:type="paragraph" w:styleId="68">
    <w:name w:val="Normal (Web)"/>
    <w:basedOn w:val="1"/>
    <w:qFormat/>
    <w:uiPriority w:val="0"/>
    <w:rPr>
      <w:szCs w:val="24"/>
    </w:rPr>
  </w:style>
  <w:style w:type="paragraph" w:styleId="69">
    <w:name w:val="List Continue 3"/>
    <w:basedOn w:val="1"/>
    <w:qFormat/>
    <w:uiPriority w:val="0"/>
    <w:pPr>
      <w:spacing w:after="120"/>
      <w:ind w:left="849"/>
    </w:pPr>
  </w:style>
  <w:style w:type="paragraph" w:styleId="70">
    <w:name w:val="index 2"/>
    <w:basedOn w:val="1"/>
    <w:next w:val="1"/>
    <w:autoRedefine/>
    <w:semiHidden/>
    <w:qFormat/>
    <w:uiPriority w:val="0"/>
    <w:pPr>
      <w:ind w:left="480" w:hanging="240"/>
    </w:pPr>
  </w:style>
  <w:style w:type="paragraph" w:styleId="71">
    <w:name w:val="Title"/>
    <w:basedOn w:val="1"/>
    <w:qFormat/>
    <w:uiPriority w:val="0"/>
    <w:pPr>
      <w:spacing w:before="60" w:after="60"/>
      <w:outlineLvl w:val="0"/>
    </w:pPr>
    <w:rPr>
      <w:b/>
      <w:sz w:val="28"/>
    </w:rPr>
  </w:style>
  <w:style w:type="paragraph" w:styleId="72">
    <w:name w:val="annotation subject"/>
    <w:basedOn w:val="25"/>
    <w:next w:val="25"/>
    <w:semiHidden/>
    <w:qFormat/>
    <w:uiPriority w:val="0"/>
    <w:pPr>
      <w:spacing w:line="300" w:lineRule="exact"/>
    </w:pPr>
    <w:rPr>
      <w:b/>
      <w:bCs/>
    </w:rPr>
  </w:style>
  <w:style w:type="paragraph" w:styleId="73">
    <w:name w:val="Body Text First Indent"/>
    <w:basedOn w:val="31"/>
    <w:qFormat/>
    <w:uiPriority w:val="0"/>
    <w:pPr>
      <w:ind w:firstLine="210"/>
    </w:pPr>
  </w:style>
  <w:style w:type="paragraph" w:styleId="74">
    <w:name w:val="Body Text First Indent 2"/>
    <w:basedOn w:val="32"/>
    <w:qFormat/>
    <w:uiPriority w:val="0"/>
    <w:pPr>
      <w:ind w:firstLine="210"/>
    </w:pPr>
  </w:style>
  <w:style w:type="character" w:styleId="77">
    <w:name w:val="endnote reference"/>
    <w:basedOn w:val="76"/>
    <w:semiHidden/>
    <w:qFormat/>
    <w:uiPriority w:val="0"/>
    <w:rPr>
      <w:vertAlign w:val="superscript"/>
    </w:rPr>
  </w:style>
  <w:style w:type="character" w:styleId="78">
    <w:name w:val="page number"/>
    <w:basedOn w:val="76"/>
    <w:qFormat/>
    <w:uiPriority w:val="0"/>
  </w:style>
  <w:style w:type="character" w:styleId="79">
    <w:name w:val="FollowedHyperlink"/>
    <w:basedOn w:val="76"/>
    <w:qFormat/>
    <w:uiPriority w:val="0"/>
    <w:rPr>
      <w:color w:val="800080"/>
      <w:u w:val="single"/>
    </w:rPr>
  </w:style>
  <w:style w:type="character" w:styleId="80">
    <w:name w:val="Emphasis"/>
    <w:basedOn w:val="76"/>
    <w:qFormat/>
    <w:uiPriority w:val="0"/>
    <w:rPr>
      <w:i/>
      <w:iCs/>
    </w:rPr>
  </w:style>
  <w:style w:type="character" w:styleId="81">
    <w:name w:val="line number"/>
    <w:basedOn w:val="76"/>
    <w:qFormat/>
    <w:uiPriority w:val="0"/>
  </w:style>
  <w:style w:type="character" w:styleId="82">
    <w:name w:val="HTML Definition"/>
    <w:basedOn w:val="76"/>
    <w:qFormat/>
    <w:uiPriority w:val="0"/>
    <w:rPr>
      <w:i/>
      <w:iCs/>
    </w:rPr>
  </w:style>
  <w:style w:type="character" w:styleId="83">
    <w:name w:val="HTML Typewriter"/>
    <w:basedOn w:val="76"/>
    <w:qFormat/>
    <w:uiPriority w:val="0"/>
    <w:rPr>
      <w:rFonts w:ascii="Courier New" w:hAnsi="Courier New"/>
      <w:sz w:val="20"/>
      <w:szCs w:val="20"/>
    </w:rPr>
  </w:style>
  <w:style w:type="character" w:styleId="84">
    <w:name w:val="HTML Acronym"/>
    <w:basedOn w:val="76"/>
    <w:qFormat/>
    <w:uiPriority w:val="0"/>
  </w:style>
  <w:style w:type="character" w:styleId="85">
    <w:name w:val="HTML Variable"/>
    <w:basedOn w:val="76"/>
    <w:qFormat/>
    <w:uiPriority w:val="0"/>
    <w:rPr>
      <w:i/>
      <w:iCs/>
    </w:rPr>
  </w:style>
  <w:style w:type="character" w:styleId="86">
    <w:name w:val="Hyperlink"/>
    <w:basedOn w:val="76"/>
    <w:qFormat/>
    <w:uiPriority w:val="0"/>
    <w:rPr>
      <w:color w:val="0000FF"/>
      <w:u w:val="single"/>
    </w:rPr>
  </w:style>
  <w:style w:type="character" w:styleId="87">
    <w:name w:val="HTML Code"/>
    <w:basedOn w:val="76"/>
    <w:qFormat/>
    <w:uiPriority w:val="0"/>
    <w:rPr>
      <w:rFonts w:ascii="Courier New" w:hAnsi="Courier New"/>
      <w:sz w:val="20"/>
      <w:szCs w:val="20"/>
    </w:rPr>
  </w:style>
  <w:style w:type="character" w:styleId="88">
    <w:name w:val="annotation reference"/>
    <w:basedOn w:val="76"/>
    <w:semiHidden/>
    <w:qFormat/>
    <w:uiPriority w:val="0"/>
    <w:rPr>
      <w:sz w:val="16"/>
    </w:rPr>
  </w:style>
  <w:style w:type="character" w:styleId="89">
    <w:name w:val="HTML Cite"/>
    <w:basedOn w:val="76"/>
    <w:qFormat/>
    <w:uiPriority w:val="0"/>
    <w:rPr>
      <w:i/>
      <w:iCs/>
    </w:rPr>
  </w:style>
  <w:style w:type="character" w:styleId="90">
    <w:name w:val="footnote reference"/>
    <w:basedOn w:val="76"/>
    <w:semiHidden/>
    <w:qFormat/>
    <w:uiPriority w:val="0"/>
    <w:rPr>
      <w:vertAlign w:val="superscript"/>
    </w:rPr>
  </w:style>
  <w:style w:type="character" w:styleId="91">
    <w:name w:val="HTML Keyboard"/>
    <w:basedOn w:val="76"/>
    <w:qFormat/>
    <w:uiPriority w:val="0"/>
    <w:rPr>
      <w:rFonts w:ascii="Courier New" w:hAnsi="Courier New"/>
      <w:sz w:val="20"/>
      <w:szCs w:val="20"/>
    </w:rPr>
  </w:style>
  <w:style w:type="character" w:styleId="92">
    <w:name w:val="HTML Sample"/>
    <w:basedOn w:val="76"/>
    <w:qFormat/>
    <w:uiPriority w:val="0"/>
    <w:rPr>
      <w:rFonts w:ascii="Courier New" w:hAnsi="Courier New"/>
    </w:rPr>
  </w:style>
  <w:style w:type="paragraph" w:customStyle="1" w:styleId="93">
    <w:name w:val="AmendmentNote"/>
    <w:basedOn w:val="94"/>
    <w:qFormat/>
    <w:uiPriority w:val="0"/>
  </w:style>
  <w:style w:type="paragraph" w:customStyle="1" w:styleId="94">
    <w:name w:val="MoreInfo"/>
    <w:basedOn w:val="1"/>
    <w:qFormat/>
    <w:uiPriority w:val="0"/>
    <w:pPr>
      <w:spacing w:before="120" w:line="240" w:lineRule="auto"/>
    </w:pPr>
  </w:style>
  <w:style w:type="paragraph" w:customStyle="1" w:styleId="95">
    <w:name w:val="Abbreviations"/>
    <w:basedOn w:val="1"/>
    <w:qFormat/>
    <w:uiPriority w:val="0"/>
    <w:pPr>
      <w:spacing w:line="240" w:lineRule="auto"/>
    </w:pPr>
  </w:style>
  <w:style w:type="paragraph" w:customStyle="1" w:styleId="96">
    <w:name w:val="AbstractPara"/>
    <w:basedOn w:val="1"/>
    <w:qFormat/>
    <w:uiPriority w:val="0"/>
    <w:pPr>
      <w:spacing w:line="240" w:lineRule="auto"/>
    </w:pPr>
  </w:style>
  <w:style w:type="paragraph" w:customStyle="1" w:styleId="97">
    <w:name w:val="AbstractTitle"/>
    <w:basedOn w:val="1"/>
    <w:next w:val="96"/>
    <w:qFormat/>
    <w:uiPriority w:val="0"/>
    <w:pPr>
      <w:spacing w:before="120" w:line="240" w:lineRule="exact"/>
      <w:outlineLvl w:val="1"/>
    </w:pPr>
    <w:rPr>
      <w:b/>
      <w:sz w:val="26"/>
    </w:rPr>
  </w:style>
  <w:style w:type="paragraph" w:customStyle="1" w:styleId="98">
    <w:name w:val="Accepted"/>
    <w:basedOn w:val="1"/>
    <w:qFormat/>
    <w:uiPriority w:val="0"/>
    <w:pPr>
      <w:spacing w:before="120" w:line="240" w:lineRule="exact"/>
    </w:pPr>
  </w:style>
  <w:style w:type="paragraph" w:customStyle="1" w:styleId="99">
    <w:name w:val="Acknowledge"/>
    <w:basedOn w:val="1"/>
    <w:qFormat/>
    <w:uiPriority w:val="0"/>
    <w:pPr>
      <w:spacing w:line="240" w:lineRule="auto"/>
    </w:pPr>
  </w:style>
  <w:style w:type="paragraph" w:customStyle="1" w:styleId="100">
    <w:name w:val="Address"/>
    <w:basedOn w:val="1"/>
    <w:qFormat/>
    <w:uiPriority w:val="0"/>
    <w:pPr>
      <w:spacing w:before="80" w:line="240" w:lineRule="auto"/>
    </w:pPr>
    <w:rPr>
      <w:b/>
    </w:rPr>
  </w:style>
  <w:style w:type="paragraph" w:customStyle="1" w:styleId="101">
    <w:name w:val="Author"/>
    <w:basedOn w:val="1"/>
    <w:next w:val="1"/>
    <w:qFormat/>
    <w:uiPriority w:val="0"/>
    <w:pPr>
      <w:spacing w:before="80" w:line="240" w:lineRule="auto"/>
    </w:pPr>
  </w:style>
  <w:style w:type="paragraph" w:customStyle="1" w:styleId="102">
    <w:name w:val="AuthoredBy"/>
    <w:basedOn w:val="1"/>
    <w:qFormat/>
    <w:uiPriority w:val="0"/>
    <w:pPr>
      <w:spacing w:line="240" w:lineRule="auto"/>
    </w:pPr>
  </w:style>
  <w:style w:type="paragraph" w:customStyle="1" w:styleId="103">
    <w:name w:val="Banner"/>
    <w:basedOn w:val="1"/>
    <w:qFormat/>
    <w:uiPriority w:val="0"/>
    <w:pPr>
      <w:spacing w:before="120" w:line="280" w:lineRule="exact"/>
    </w:pPr>
    <w:rPr>
      <w:i/>
      <w:sz w:val="28"/>
    </w:rPr>
  </w:style>
  <w:style w:type="paragraph" w:customStyle="1" w:styleId="104">
    <w:name w:val="BoxEnd"/>
    <w:basedOn w:val="1"/>
    <w:qFormat/>
    <w:uiPriority w:val="0"/>
    <w:pPr>
      <w:pBdr>
        <w:bottom w:val="single" w:color="auto" w:sz="12" w:space="1"/>
        <w:right w:val="single" w:color="auto" w:sz="12" w:space="1"/>
      </w:pBdr>
      <w:spacing w:after="120" w:line="240" w:lineRule="auto"/>
    </w:pPr>
  </w:style>
  <w:style w:type="paragraph" w:customStyle="1" w:styleId="105">
    <w:name w:val="BoxStart1"/>
    <w:basedOn w:val="1"/>
    <w:qFormat/>
    <w:uiPriority w:val="0"/>
    <w:pPr>
      <w:pBdr>
        <w:top w:val="single" w:color="auto" w:sz="12" w:space="1"/>
        <w:left w:val="single" w:color="auto" w:sz="12" w:space="1"/>
      </w:pBdr>
      <w:spacing w:line="240" w:lineRule="auto"/>
    </w:pPr>
  </w:style>
  <w:style w:type="paragraph" w:customStyle="1" w:styleId="106">
    <w:name w:val="BoxStart2"/>
    <w:basedOn w:val="105"/>
    <w:qFormat/>
    <w:uiPriority w:val="0"/>
  </w:style>
  <w:style w:type="paragraph" w:customStyle="1" w:styleId="107">
    <w:name w:val="BoxStart3"/>
    <w:basedOn w:val="105"/>
    <w:qFormat/>
    <w:uiPriority w:val="0"/>
  </w:style>
  <w:style w:type="paragraph" w:customStyle="1" w:styleId="108">
    <w:name w:val="Conflict"/>
    <w:basedOn w:val="1"/>
    <w:qFormat/>
    <w:uiPriority w:val="0"/>
    <w:pPr>
      <w:spacing w:before="120" w:after="120" w:line="240" w:lineRule="auto"/>
    </w:pPr>
  </w:style>
  <w:style w:type="paragraph" w:customStyle="1" w:styleId="109">
    <w:name w:val="Correspdent"/>
    <w:basedOn w:val="1"/>
    <w:qFormat/>
    <w:uiPriority w:val="0"/>
    <w:pPr>
      <w:spacing w:line="240" w:lineRule="auto"/>
    </w:pPr>
  </w:style>
  <w:style w:type="paragraph" w:customStyle="1" w:styleId="110">
    <w:name w:val="Credit"/>
    <w:basedOn w:val="20"/>
    <w:qFormat/>
    <w:uiPriority w:val="0"/>
    <w:rPr>
      <w:sz w:val="18"/>
    </w:rPr>
  </w:style>
  <w:style w:type="paragraph" w:customStyle="1" w:styleId="111">
    <w:name w:val="Article"/>
    <w:basedOn w:val="1"/>
    <w:qFormat/>
    <w:uiPriority w:val="0"/>
    <w:pPr>
      <w:keepNext/>
      <w:suppressAutoHyphens/>
      <w:spacing w:before="120" w:after="60" w:line="240" w:lineRule="auto"/>
    </w:pPr>
    <w:rPr>
      <w:rFonts w:ascii="Arial" w:hAnsi="Arial"/>
      <w:b/>
      <w:sz w:val="18"/>
    </w:rPr>
  </w:style>
  <w:style w:type="paragraph" w:customStyle="1" w:styleId="112">
    <w:name w:val="Para"/>
    <w:basedOn w:val="1"/>
    <w:uiPriority w:val="0"/>
    <w:pPr>
      <w:spacing w:line="360" w:lineRule="auto"/>
      <w:ind w:firstLine="288"/>
    </w:pPr>
  </w:style>
  <w:style w:type="paragraph" w:customStyle="1" w:styleId="113">
    <w:name w:val="EdFtNote"/>
    <w:basedOn w:val="112"/>
    <w:qFormat/>
    <w:uiPriority w:val="0"/>
    <w:pPr>
      <w:spacing w:before="60"/>
      <w:ind w:firstLine="0"/>
    </w:pPr>
  </w:style>
  <w:style w:type="paragraph" w:customStyle="1" w:styleId="114">
    <w:name w:val="IndentQuote"/>
    <w:basedOn w:val="1"/>
    <w:qFormat/>
    <w:uiPriority w:val="0"/>
    <w:pPr>
      <w:spacing w:before="60" w:line="240" w:lineRule="exact"/>
      <w:ind w:left="288" w:right="288"/>
    </w:pPr>
  </w:style>
  <w:style w:type="paragraph" w:customStyle="1" w:styleId="115">
    <w:name w:val="Epigraph"/>
    <w:basedOn w:val="114"/>
    <w:qFormat/>
    <w:uiPriority w:val="0"/>
  </w:style>
  <w:style w:type="paragraph" w:customStyle="1" w:styleId="116">
    <w:name w:val="Equation"/>
    <w:basedOn w:val="1"/>
    <w:qFormat/>
    <w:uiPriority w:val="0"/>
    <w:pPr>
      <w:spacing w:line="240" w:lineRule="auto"/>
    </w:pPr>
    <w:rPr>
      <w:b/>
      <w:i/>
    </w:rPr>
  </w:style>
  <w:style w:type="paragraph" w:customStyle="1" w:styleId="117">
    <w:name w:val="FigLeg"/>
    <w:basedOn w:val="1"/>
    <w:qFormat/>
    <w:uiPriority w:val="0"/>
    <w:pPr>
      <w:spacing w:line="240" w:lineRule="auto"/>
    </w:pPr>
  </w:style>
  <w:style w:type="paragraph" w:customStyle="1" w:styleId="118">
    <w:name w:val="Figure"/>
    <w:basedOn w:val="1"/>
    <w:qFormat/>
    <w:uiPriority w:val="0"/>
    <w:pPr>
      <w:numPr>
        <w:ilvl w:val="0"/>
        <w:numId w:val="12"/>
      </w:numPr>
      <w:tabs>
        <w:tab w:val="left" w:pos="720"/>
        <w:tab w:val="clear" w:pos="2160"/>
      </w:tabs>
      <w:ind w:left="0" w:firstLine="0"/>
    </w:pPr>
    <w:rPr>
      <w:b/>
    </w:rPr>
  </w:style>
  <w:style w:type="character" w:customStyle="1" w:styleId="119">
    <w:name w:val="FigureRef"/>
    <w:basedOn w:val="76"/>
    <w:qFormat/>
    <w:uiPriority w:val="0"/>
    <w:rPr>
      <w:color w:val="0000FF"/>
      <w:vertAlign w:val="superscript"/>
    </w:rPr>
  </w:style>
  <w:style w:type="character" w:customStyle="1" w:styleId="120">
    <w:name w:val="FnoteRef"/>
    <w:basedOn w:val="76"/>
    <w:qFormat/>
    <w:uiPriority w:val="0"/>
    <w:rPr>
      <w:color w:val="FF0000"/>
      <w:vertAlign w:val="superscript"/>
    </w:rPr>
  </w:style>
  <w:style w:type="paragraph" w:customStyle="1" w:styleId="121">
    <w:name w:val="Footnote"/>
    <w:basedOn w:val="1"/>
    <w:qFormat/>
    <w:uiPriority w:val="0"/>
    <w:pPr>
      <w:spacing w:line="240" w:lineRule="auto"/>
    </w:pPr>
  </w:style>
  <w:style w:type="paragraph" w:customStyle="1" w:styleId="122">
    <w:name w:val="Funding"/>
    <w:basedOn w:val="1"/>
    <w:qFormat/>
    <w:uiPriority w:val="0"/>
    <w:pPr>
      <w:spacing w:after="120" w:line="240" w:lineRule="auto"/>
    </w:pPr>
  </w:style>
  <w:style w:type="paragraph" w:customStyle="1" w:styleId="123">
    <w:name w:val="GroupTitle"/>
    <w:basedOn w:val="71"/>
    <w:next w:val="71"/>
    <w:qFormat/>
    <w:uiPriority w:val="0"/>
  </w:style>
  <w:style w:type="paragraph" w:customStyle="1" w:styleId="124">
    <w:name w:val="HeadA"/>
    <w:basedOn w:val="1"/>
    <w:qFormat/>
    <w:uiPriority w:val="0"/>
    <w:pPr>
      <w:keepNext/>
      <w:suppressAutoHyphens/>
      <w:spacing w:before="120" w:line="280" w:lineRule="exact"/>
      <w:outlineLvl w:val="1"/>
    </w:pPr>
    <w:rPr>
      <w:b/>
    </w:rPr>
  </w:style>
  <w:style w:type="paragraph" w:customStyle="1" w:styleId="125">
    <w:name w:val="HeadB"/>
    <w:basedOn w:val="1"/>
    <w:qFormat/>
    <w:uiPriority w:val="0"/>
    <w:pPr>
      <w:keepNext/>
      <w:suppressAutoHyphens/>
      <w:spacing w:before="60" w:line="280" w:lineRule="exact"/>
      <w:outlineLvl w:val="2"/>
    </w:pPr>
    <w:rPr>
      <w:b/>
      <w:sz w:val="20"/>
    </w:rPr>
  </w:style>
  <w:style w:type="paragraph" w:customStyle="1" w:styleId="126">
    <w:name w:val="HeadC"/>
    <w:basedOn w:val="1"/>
    <w:qFormat/>
    <w:uiPriority w:val="0"/>
    <w:pPr>
      <w:keepNext/>
      <w:suppressAutoHyphens/>
      <w:spacing w:before="60" w:line="280" w:lineRule="exact"/>
      <w:outlineLvl w:val="3"/>
    </w:pPr>
    <w:rPr>
      <w:i/>
      <w:sz w:val="20"/>
    </w:rPr>
  </w:style>
  <w:style w:type="paragraph" w:customStyle="1" w:styleId="127">
    <w:name w:val="Keywords"/>
    <w:basedOn w:val="1"/>
    <w:qFormat/>
    <w:uiPriority w:val="0"/>
    <w:pPr>
      <w:spacing w:line="240" w:lineRule="auto"/>
    </w:pPr>
  </w:style>
  <w:style w:type="paragraph" w:customStyle="1" w:styleId="128">
    <w:name w:val="List1"/>
    <w:basedOn w:val="1"/>
    <w:qFormat/>
    <w:uiPriority w:val="0"/>
    <w:pPr>
      <w:spacing w:before="40" w:after="120" w:line="240" w:lineRule="exact"/>
    </w:pPr>
  </w:style>
  <w:style w:type="paragraph" w:customStyle="1" w:styleId="129">
    <w:name w:val="List2"/>
    <w:basedOn w:val="1"/>
    <w:qFormat/>
    <w:uiPriority w:val="0"/>
    <w:pPr>
      <w:spacing w:before="40" w:line="240" w:lineRule="exact"/>
      <w:ind w:left="720"/>
    </w:pPr>
  </w:style>
  <w:style w:type="paragraph" w:customStyle="1" w:styleId="130">
    <w:name w:val="ListPara"/>
    <w:basedOn w:val="1"/>
    <w:qFormat/>
    <w:uiPriority w:val="0"/>
    <w:pPr>
      <w:spacing w:line="240" w:lineRule="auto"/>
      <w:ind w:left="720"/>
    </w:pPr>
  </w:style>
  <w:style w:type="paragraph" w:customStyle="1" w:styleId="131">
    <w:name w:val="Miscellaneous"/>
    <w:basedOn w:val="1"/>
    <w:qFormat/>
    <w:uiPriority w:val="0"/>
    <w:pPr>
      <w:spacing w:before="120" w:line="240" w:lineRule="exact"/>
    </w:pPr>
  </w:style>
  <w:style w:type="paragraph" w:customStyle="1" w:styleId="132">
    <w:name w:val="MoreInfoWeb"/>
    <w:basedOn w:val="1"/>
    <w:qFormat/>
    <w:uiPriority w:val="0"/>
    <w:pPr>
      <w:spacing w:before="120" w:line="240" w:lineRule="exact"/>
    </w:pPr>
  </w:style>
  <w:style w:type="character" w:customStyle="1" w:styleId="133">
    <w:name w:val="Noindex"/>
    <w:qFormat/>
    <w:uiPriority w:val="0"/>
    <w:rPr>
      <w:color w:val="FF6600"/>
    </w:rPr>
  </w:style>
  <w:style w:type="paragraph" w:customStyle="1" w:styleId="134">
    <w:name w:val="ParaCont"/>
    <w:basedOn w:val="1"/>
    <w:qFormat/>
    <w:uiPriority w:val="0"/>
    <w:pPr>
      <w:spacing w:line="360" w:lineRule="auto"/>
    </w:pPr>
  </w:style>
  <w:style w:type="paragraph" w:customStyle="1" w:styleId="135">
    <w:name w:val="HeadE"/>
    <w:basedOn w:val="136"/>
    <w:qFormat/>
    <w:uiPriority w:val="0"/>
    <w:rPr>
      <w:b w:val="0"/>
      <w:i/>
    </w:rPr>
  </w:style>
  <w:style w:type="paragraph" w:customStyle="1" w:styleId="136">
    <w:name w:val="HeadD"/>
    <w:basedOn w:val="125"/>
    <w:next w:val="1"/>
    <w:qFormat/>
    <w:uiPriority w:val="0"/>
    <w:pPr>
      <w:outlineLvl w:val="4"/>
    </w:pPr>
    <w:rPr>
      <w:sz w:val="16"/>
    </w:rPr>
  </w:style>
  <w:style w:type="paragraph" w:customStyle="1" w:styleId="137">
    <w:name w:val="Participators"/>
    <w:basedOn w:val="1"/>
    <w:qFormat/>
    <w:uiPriority w:val="0"/>
    <w:pPr>
      <w:spacing w:before="120" w:after="120"/>
    </w:pPr>
  </w:style>
  <w:style w:type="paragraph" w:customStyle="1" w:styleId="138">
    <w:name w:val="GroupAuthor"/>
    <w:basedOn w:val="101"/>
    <w:qFormat/>
    <w:uiPriority w:val="0"/>
    <w:rPr>
      <w:b/>
      <w:i/>
    </w:rPr>
  </w:style>
  <w:style w:type="paragraph" w:customStyle="1" w:styleId="139">
    <w:name w:val="Position"/>
    <w:basedOn w:val="1"/>
    <w:next w:val="1"/>
    <w:qFormat/>
    <w:uiPriority w:val="0"/>
    <w:pPr>
      <w:spacing w:line="240" w:lineRule="auto"/>
    </w:pPr>
    <w:rPr>
      <w:i/>
    </w:rPr>
  </w:style>
  <w:style w:type="paragraph" w:customStyle="1" w:styleId="140">
    <w:name w:val="ProductAuth"/>
    <w:basedOn w:val="100"/>
    <w:qFormat/>
    <w:uiPriority w:val="0"/>
  </w:style>
  <w:style w:type="paragraph" w:customStyle="1" w:styleId="141">
    <w:name w:val="ProductDetails"/>
    <w:basedOn w:val="112"/>
    <w:qFormat/>
    <w:uiPriority w:val="0"/>
  </w:style>
  <w:style w:type="paragraph" w:customStyle="1" w:styleId="142">
    <w:name w:val="QuoteRef"/>
    <w:basedOn w:val="1"/>
    <w:qFormat/>
    <w:uiPriority w:val="0"/>
    <w:pPr>
      <w:spacing w:after="60"/>
    </w:pPr>
  </w:style>
  <w:style w:type="paragraph" w:customStyle="1" w:styleId="143">
    <w:name w:val="Rating"/>
    <w:basedOn w:val="112"/>
    <w:qFormat/>
    <w:uiPriority w:val="0"/>
    <w:pPr>
      <w:ind w:firstLine="0"/>
    </w:pPr>
  </w:style>
  <w:style w:type="paragraph" w:customStyle="1" w:styleId="144">
    <w:name w:val="Reference"/>
    <w:basedOn w:val="1"/>
    <w:qFormat/>
    <w:uiPriority w:val="0"/>
    <w:pPr>
      <w:numPr>
        <w:ilvl w:val="0"/>
        <w:numId w:val="13"/>
      </w:numPr>
      <w:spacing w:before="40" w:line="360" w:lineRule="auto"/>
      <w:ind w:left="461" w:hanging="173"/>
    </w:pPr>
  </w:style>
  <w:style w:type="paragraph" w:customStyle="1" w:styleId="145">
    <w:name w:val="RelatedTo"/>
    <w:basedOn w:val="1"/>
    <w:qFormat/>
    <w:uiPriority w:val="0"/>
  </w:style>
  <w:style w:type="paragraph" w:customStyle="1" w:styleId="146">
    <w:name w:val="RelatedToWeb"/>
    <w:basedOn w:val="1"/>
    <w:qFormat/>
    <w:uiPriority w:val="0"/>
  </w:style>
  <w:style w:type="paragraph" w:customStyle="1" w:styleId="147">
    <w:name w:val="Reviewed"/>
    <w:basedOn w:val="134"/>
    <w:qFormat/>
    <w:uiPriority w:val="0"/>
  </w:style>
  <w:style w:type="paragraph" w:customStyle="1" w:styleId="148">
    <w:name w:val="ShortAuthor"/>
    <w:basedOn w:val="1"/>
    <w:qFormat/>
    <w:uiPriority w:val="0"/>
    <w:rPr>
      <w:i/>
    </w:rPr>
  </w:style>
  <w:style w:type="paragraph" w:customStyle="1" w:styleId="149">
    <w:name w:val="ShortTitle"/>
    <w:basedOn w:val="1"/>
    <w:qFormat/>
    <w:uiPriority w:val="0"/>
    <w:rPr>
      <w:rFonts w:ascii="Arial" w:hAnsi="Arial"/>
      <w:i/>
      <w:sz w:val="20"/>
    </w:rPr>
  </w:style>
  <w:style w:type="paragraph" w:customStyle="1" w:styleId="150">
    <w:name w:val="SourceRef"/>
    <w:basedOn w:val="112"/>
    <w:qFormat/>
    <w:uiPriority w:val="0"/>
    <w:pPr>
      <w:ind w:firstLine="0"/>
    </w:pPr>
  </w:style>
  <w:style w:type="paragraph" w:customStyle="1" w:styleId="151">
    <w:name w:val="Standfirst"/>
    <w:basedOn w:val="98"/>
    <w:qFormat/>
    <w:uiPriority w:val="0"/>
  </w:style>
  <w:style w:type="paragraph" w:customStyle="1" w:styleId="152">
    <w:name w:val="Subtitle1"/>
    <w:basedOn w:val="55"/>
    <w:qFormat/>
    <w:uiPriority w:val="0"/>
  </w:style>
  <w:style w:type="paragraph" w:customStyle="1" w:styleId="153">
    <w:name w:val="Table"/>
    <w:basedOn w:val="1"/>
    <w:qFormat/>
    <w:uiPriority w:val="0"/>
    <w:pPr>
      <w:numPr>
        <w:ilvl w:val="0"/>
        <w:numId w:val="14"/>
      </w:numPr>
      <w:tabs>
        <w:tab w:val="left" w:pos="1021"/>
        <w:tab w:val="clear" w:pos="1440"/>
      </w:tabs>
    </w:pPr>
    <w:rPr>
      <w:i/>
    </w:rPr>
  </w:style>
  <w:style w:type="paragraph" w:customStyle="1" w:styleId="154">
    <w:name w:val="TableNote"/>
    <w:basedOn w:val="1"/>
    <w:qFormat/>
    <w:uiPriority w:val="0"/>
  </w:style>
  <w:style w:type="character" w:customStyle="1" w:styleId="155">
    <w:name w:val="TableRef"/>
    <w:basedOn w:val="76"/>
    <w:qFormat/>
    <w:uiPriority w:val="0"/>
    <w:rPr>
      <w:color w:val="0000FF"/>
      <w:vertAlign w:val="superscript"/>
    </w:rPr>
  </w:style>
  <w:style w:type="paragraph" w:customStyle="1" w:styleId="156">
    <w:name w:val="TableTitle"/>
    <w:basedOn w:val="1"/>
    <w:qFormat/>
    <w:uiPriority w:val="0"/>
  </w:style>
  <w:style w:type="paragraph" w:customStyle="1" w:styleId="157">
    <w:name w:val="Topic"/>
    <w:basedOn w:val="1"/>
    <w:qFormat/>
    <w:uiPriority w:val="0"/>
    <w:pPr>
      <w:spacing w:before="40" w:line="260" w:lineRule="exact"/>
    </w:pPr>
    <w:rPr>
      <w:i/>
      <w:color w:val="0000FF"/>
    </w:rPr>
  </w:style>
  <w:style w:type="character" w:customStyle="1" w:styleId="158">
    <w:name w:val="URL"/>
    <w:basedOn w:val="76"/>
    <w:qFormat/>
    <w:uiPriority w:val="0"/>
    <w:rPr>
      <w:color w:val="666699"/>
    </w:rPr>
  </w:style>
  <w:style w:type="paragraph" w:customStyle="1" w:styleId="159">
    <w:name w:val="WebRef"/>
    <w:basedOn w:val="1"/>
    <w:qFormat/>
    <w:uiPriority w:val="0"/>
    <w:pPr>
      <w:numPr>
        <w:ilvl w:val="0"/>
        <w:numId w:val="15"/>
      </w:numPr>
      <w:tabs>
        <w:tab w:val="left" w:pos="720"/>
        <w:tab w:val="clear" w:pos="1800"/>
      </w:tabs>
      <w:ind w:left="360"/>
    </w:pPr>
  </w:style>
  <w:style w:type="character" w:customStyle="1" w:styleId="160">
    <w:name w:val="XRef"/>
    <w:basedOn w:val="76"/>
    <w:qFormat/>
    <w:uiPriority w:val="0"/>
    <w:rPr>
      <w:color w:val="0000FF"/>
      <w:vertAlign w:val="superscript"/>
    </w:rPr>
  </w:style>
  <w:style w:type="character" w:customStyle="1" w:styleId="161">
    <w:name w:val="wXRef"/>
    <w:basedOn w:val="160"/>
    <w:qFormat/>
    <w:uiPriority w:val="0"/>
    <w:rPr>
      <w:color w:val="0000FF"/>
      <w:vertAlign w:val="superscript"/>
    </w:rPr>
  </w:style>
  <w:style w:type="character" w:customStyle="1" w:styleId="162">
    <w:name w:val="email"/>
    <w:basedOn w:val="158"/>
    <w:qFormat/>
    <w:uiPriority w:val="0"/>
    <w:rPr>
      <w:color w:val="666699"/>
    </w:rPr>
  </w:style>
  <w:style w:type="paragraph" w:customStyle="1" w:styleId="163">
    <w:name w:val="BoxStartx"/>
    <w:basedOn w:val="105"/>
    <w:qFormat/>
    <w:uiPriority w:val="0"/>
  </w:style>
  <w:style w:type="character" w:customStyle="1" w:styleId="164">
    <w:name w:val="ParaHead"/>
    <w:basedOn w:val="76"/>
    <w:qFormat/>
    <w:uiPriority w:val="0"/>
    <w:rPr>
      <w:color w:val="999999"/>
      <w:shd w:val="clear" w:color="auto" w:fill="auto"/>
    </w:rPr>
  </w:style>
  <w:style w:type="paragraph" w:customStyle="1" w:styleId="165">
    <w:name w:val="ObitBiog"/>
    <w:basedOn w:val="112"/>
    <w:qFormat/>
    <w:uiPriority w:val="0"/>
    <w:pPr>
      <w:spacing w:before="120" w:line="260" w:lineRule="exact"/>
      <w:ind w:firstLine="0"/>
    </w:pPr>
    <w:rPr>
      <w:b/>
      <w:i/>
      <w:sz w:val="22"/>
    </w:rPr>
  </w:style>
  <w:style w:type="paragraph" w:customStyle="1" w:styleId="166">
    <w:name w:val="TableHeader"/>
    <w:basedOn w:val="112"/>
    <w:qFormat/>
    <w:uiPriority w:val="0"/>
    <w:pPr>
      <w:spacing w:before="120" w:line="240" w:lineRule="auto"/>
      <w:ind w:firstLine="0"/>
    </w:pPr>
    <w:rPr>
      <w:b/>
    </w:rPr>
  </w:style>
  <w:style w:type="character" w:customStyle="1" w:styleId="167">
    <w:name w:val="Image"/>
    <w:basedOn w:val="133"/>
    <w:qFormat/>
    <w:uiPriority w:val="0"/>
    <w:rPr>
      <w:b/>
      <w:color w:val="00FF00"/>
    </w:rPr>
  </w:style>
  <w:style w:type="paragraph" w:customStyle="1" w:styleId="168">
    <w:name w:val="TableSubHead"/>
    <w:basedOn w:val="166"/>
    <w:qFormat/>
    <w:uiPriority w:val="0"/>
  </w:style>
  <w:style w:type="paragraph" w:customStyle="1" w:styleId="169">
    <w:name w:val="ArtGroup"/>
    <w:basedOn w:val="111"/>
    <w:qFormat/>
    <w:uiPriority w:val="0"/>
    <w:rPr>
      <w:sz w:val="22"/>
    </w:rPr>
  </w:style>
  <w:style w:type="paragraph" w:customStyle="1" w:styleId="170">
    <w:name w:val="Biog"/>
    <w:basedOn w:val="94"/>
    <w:qFormat/>
    <w:uiPriority w:val="0"/>
  </w:style>
  <w:style w:type="paragraph" w:customStyle="1" w:styleId="171">
    <w:name w:val="SearchInfo"/>
    <w:basedOn w:val="1"/>
    <w:qFormat/>
    <w:uiPriority w:val="0"/>
    <w:pPr>
      <w:spacing w:before="120" w:line="240" w:lineRule="exact"/>
    </w:pPr>
  </w:style>
  <w:style w:type="paragraph" w:customStyle="1" w:styleId="172">
    <w:name w:val="SeriesInfo"/>
    <w:basedOn w:val="1"/>
    <w:qFormat/>
    <w:uiPriority w:val="0"/>
    <w:pPr>
      <w:spacing w:before="120" w:line="240" w:lineRule="exact"/>
    </w:pPr>
  </w:style>
  <w:style w:type="paragraph" w:customStyle="1" w:styleId="173">
    <w:name w:val="Remark"/>
    <w:basedOn w:val="1"/>
    <w:qFormat/>
    <w:uiPriority w:val="0"/>
    <w:rPr>
      <w:color w:val="FF0000"/>
    </w:rPr>
  </w:style>
  <w:style w:type="paragraph" w:customStyle="1" w:styleId="174">
    <w:name w:val="BoxStart4"/>
    <w:basedOn w:val="107"/>
    <w:qFormat/>
    <w:uiPriority w:val="0"/>
  </w:style>
  <w:style w:type="paragraph" w:customStyle="1" w:styleId="175">
    <w:name w:val="Bibliography"/>
    <w:basedOn w:val="144"/>
    <w:qFormat/>
    <w:uiPriority w:val="0"/>
    <w:pPr>
      <w:numPr>
        <w:ilvl w:val="0"/>
        <w:numId w:val="0"/>
      </w:numPr>
    </w:pPr>
  </w:style>
  <w:style w:type="paragraph" w:customStyle="1" w:styleId="176">
    <w:name w:val="PullQuote"/>
    <w:basedOn w:val="114"/>
    <w:qFormat/>
    <w:uiPriority w:val="0"/>
  </w:style>
  <w:style w:type="paragraph" w:customStyle="1" w:styleId="177">
    <w:name w:val="AncillHead"/>
    <w:basedOn w:val="125"/>
    <w:qFormat/>
    <w:uiPriority w:val="0"/>
  </w:style>
  <w:style w:type="paragraph" w:customStyle="1" w:styleId="178">
    <w:name w:val="RefHead"/>
    <w:basedOn w:val="125"/>
    <w:qFormat/>
    <w:uiPriority w:val="0"/>
  </w:style>
  <w:style w:type="paragraph" w:customStyle="1" w:styleId="179">
    <w:name w:val="FlushQuote"/>
    <w:basedOn w:val="114"/>
    <w:qFormat/>
    <w:uiPriority w:val="0"/>
    <w:pPr>
      <w:ind w:left="0" w:right="0"/>
    </w:pPr>
    <w:rPr>
      <w:sz w:val="22"/>
    </w:rPr>
  </w:style>
  <w:style w:type="paragraph" w:customStyle="1" w:styleId="180">
    <w:name w:val="ProductTitle"/>
    <w:basedOn w:val="1"/>
    <w:next w:val="140"/>
    <w:qFormat/>
    <w:uiPriority w:val="0"/>
    <w:rPr>
      <w:b/>
      <w:sz w:val="28"/>
    </w:rPr>
  </w:style>
  <w:style w:type="paragraph" w:customStyle="1" w:styleId="181">
    <w:name w:val="EthicalApproval"/>
    <w:basedOn w:val="137"/>
    <w:qFormat/>
    <w:uiPriority w:val="0"/>
  </w:style>
  <w:style w:type="paragraph" w:customStyle="1" w:styleId="182">
    <w:name w:val="Abrv-Title"/>
    <w:basedOn w:val="1"/>
    <w:autoRedefine/>
    <w:qFormat/>
    <w:uiPriority w:val="0"/>
  </w:style>
  <w:style w:type="paragraph" w:customStyle="1" w:styleId="183">
    <w:name w:val="Web logo"/>
    <w:basedOn w:val="1"/>
    <w:qFormat/>
    <w:uiPriority w:val="0"/>
  </w:style>
  <w:style w:type="character" w:customStyle="1" w:styleId="184">
    <w:name w:val="Preformatted"/>
    <w:basedOn w:val="76"/>
    <w:qFormat/>
    <w:uiPriority w:val="0"/>
  </w:style>
  <w:style w:type="paragraph" w:customStyle="1" w:styleId="185">
    <w:name w:val="Auxillary Number"/>
    <w:basedOn w:val="1"/>
    <w:autoRedefine/>
    <w:qFormat/>
    <w:uiPriority w:val="0"/>
  </w:style>
  <w:style w:type="paragraph" w:customStyle="1" w:styleId="186">
    <w:name w:val="DOI"/>
    <w:basedOn w:val="1"/>
    <w:autoRedefine/>
    <w:qFormat/>
    <w:uiPriority w:val="0"/>
  </w:style>
  <w:style w:type="paragraph" w:customStyle="1" w:styleId="187">
    <w:name w:val="Unit-ID"/>
    <w:basedOn w:val="1"/>
    <w:autoRedefine/>
    <w:qFormat/>
    <w:uiPriority w:val="0"/>
  </w:style>
  <w:style w:type="paragraph" w:customStyle="1" w:styleId="188">
    <w:name w:val="Abbreviation"/>
    <w:basedOn w:val="1"/>
    <w:qFormat/>
    <w:uiPriority w:val="0"/>
  </w:style>
  <w:style w:type="paragraph" w:customStyle="1" w:styleId="189">
    <w:name w:val="Appendix"/>
    <w:basedOn w:val="1"/>
    <w:qFormat/>
    <w:uiPriority w:val="0"/>
    <w:rPr>
      <w:b/>
    </w:rPr>
  </w:style>
  <w:style w:type="paragraph" w:customStyle="1" w:styleId="190">
    <w:name w:val="Authored by"/>
    <w:basedOn w:val="1"/>
    <w:qFormat/>
    <w:uiPriority w:val="0"/>
    <w:rPr>
      <w:b/>
      <w:sz w:val="28"/>
    </w:rPr>
  </w:style>
  <w:style w:type="paragraph" w:customStyle="1" w:styleId="191">
    <w:name w:val="BookDetails"/>
    <w:basedOn w:val="1"/>
    <w:qFormat/>
    <w:uiPriority w:val="0"/>
  </w:style>
  <w:style w:type="paragraph" w:customStyle="1" w:styleId="192">
    <w:name w:val="BoxStart"/>
    <w:basedOn w:val="1"/>
    <w:qFormat/>
    <w:uiPriority w:val="0"/>
  </w:style>
  <w:style w:type="paragraph" w:customStyle="1" w:styleId="193">
    <w:name w:val="Citation"/>
    <w:basedOn w:val="1"/>
    <w:autoRedefine/>
    <w:qFormat/>
    <w:uiPriority w:val="0"/>
  </w:style>
  <w:style w:type="paragraph" w:customStyle="1" w:styleId="194">
    <w:name w:val="Correspondent"/>
    <w:basedOn w:val="1"/>
    <w:autoRedefine/>
    <w:qFormat/>
    <w:uiPriority w:val="0"/>
  </w:style>
  <w:style w:type="paragraph" w:customStyle="1" w:styleId="195">
    <w:name w:val="EquationText"/>
    <w:basedOn w:val="1"/>
    <w:autoRedefine/>
    <w:qFormat/>
    <w:uiPriority w:val="0"/>
  </w:style>
  <w:style w:type="paragraph" w:customStyle="1" w:styleId="196">
    <w:name w:val="Footnotes"/>
    <w:basedOn w:val="1"/>
    <w:qFormat/>
    <w:uiPriority w:val="0"/>
  </w:style>
  <w:style w:type="paragraph" w:customStyle="1" w:styleId="197">
    <w:name w:val="KeyWords"/>
    <w:basedOn w:val="1"/>
    <w:autoRedefine/>
    <w:qFormat/>
    <w:uiPriority w:val="0"/>
  </w:style>
  <w:style w:type="paragraph" w:customStyle="1" w:styleId="198">
    <w:name w:val="ListParaMore"/>
    <w:basedOn w:val="1"/>
    <w:autoRedefine/>
    <w:qFormat/>
    <w:uiPriority w:val="0"/>
  </w:style>
  <w:style w:type="paragraph" w:customStyle="1" w:styleId="199">
    <w:name w:val="Onlinefirst"/>
    <w:basedOn w:val="1"/>
    <w:qFormat/>
    <w:uiPriority w:val="0"/>
  </w:style>
  <w:style w:type="paragraph" w:styleId="200">
    <w:name w:val="Quote"/>
    <w:basedOn w:val="1"/>
    <w:autoRedefine/>
    <w:qFormat/>
    <w:uiPriority w:val="0"/>
    <w:pPr>
      <w:ind w:left="737"/>
    </w:pPr>
    <w:rPr>
      <w:sz w:val="28"/>
    </w:rPr>
  </w:style>
  <w:style w:type="paragraph" w:customStyle="1" w:styleId="201">
    <w:name w:val="Received"/>
    <w:basedOn w:val="1"/>
    <w:autoRedefine/>
    <w:qFormat/>
    <w:uiPriority w:val="0"/>
  </w:style>
  <w:style w:type="paragraph" w:customStyle="1" w:styleId="202">
    <w:name w:val="Related"/>
    <w:basedOn w:val="1"/>
    <w:qFormat/>
    <w:uiPriority w:val="0"/>
    <w:rPr>
      <w:b/>
      <w:i/>
    </w:rPr>
  </w:style>
  <w:style w:type="paragraph" w:customStyle="1" w:styleId="203">
    <w:name w:val="RespTitle"/>
    <w:basedOn w:val="1"/>
    <w:autoRedefine/>
    <w:qFormat/>
    <w:uiPriority w:val="0"/>
    <w:rPr>
      <w:b/>
    </w:rPr>
  </w:style>
  <w:style w:type="paragraph" w:customStyle="1" w:styleId="204">
    <w:name w:val="ShortAuthors"/>
    <w:basedOn w:val="1"/>
    <w:autoRedefine/>
    <w:qFormat/>
    <w:uiPriority w:val="0"/>
  </w:style>
  <w:style w:type="paragraph" w:customStyle="1" w:styleId="205">
    <w:name w:val="Table Footnote"/>
    <w:basedOn w:val="1"/>
    <w:qFormat/>
    <w:uiPriority w:val="0"/>
    <w:rPr>
      <w:rFonts w:ascii="Arial" w:hAnsi="Arial"/>
      <w:sz w:val="22"/>
    </w:rPr>
  </w:style>
  <w:style w:type="paragraph" w:customStyle="1" w:styleId="206">
    <w:name w:val="Topic(s)"/>
    <w:basedOn w:val="1"/>
    <w:autoRedefine/>
    <w:qFormat/>
    <w:uiPriority w:val="0"/>
    <w:rPr>
      <w:i/>
    </w:rPr>
  </w:style>
  <w:style w:type="paragraph" w:customStyle="1" w:styleId="207">
    <w:name w:val="Revised"/>
    <w:basedOn w:val="1"/>
    <w:autoRedefine/>
    <w:qFormat/>
    <w:uiPriority w:val="0"/>
  </w:style>
  <w:style w:type="paragraph" w:customStyle="1" w:styleId="208">
    <w:name w:val="Table Width"/>
    <w:basedOn w:val="1"/>
    <w:qFormat/>
    <w:uiPriority w:val="0"/>
  </w:style>
  <w:style w:type="paragraph" w:customStyle="1" w:styleId="209">
    <w:name w:val="Table Font"/>
    <w:basedOn w:val="1"/>
    <w:qFormat/>
    <w:uiPriority w:val="0"/>
  </w:style>
  <w:style w:type="paragraph" w:customStyle="1" w:styleId="210">
    <w:name w:val="Article Title"/>
    <w:basedOn w:val="1"/>
    <w:qFormat/>
    <w:uiPriority w:val="0"/>
    <w:rPr>
      <w:rFonts w:ascii="Arial" w:hAnsi="Arial"/>
      <w:b/>
      <w:sz w:val="36"/>
    </w:rPr>
  </w:style>
  <w:style w:type="paragraph" w:customStyle="1" w:styleId="211">
    <w:name w:val="BNF Number"/>
    <w:basedOn w:val="1"/>
    <w:qFormat/>
    <w:uiPriority w:val="0"/>
    <w:rPr>
      <w:rFonts w:ascii="Arial" w:hAnsi="Arial"/>
      <w:b/>
      <w:sz w:val="22"/>
    </w:rPr>
  </w:style>
  <w:style w:type="paragraph" w:customStyle="1" w:styleId="212">
    <w:name w:val="Introduction"/>
    <w:basedOn w:val="1"/>
    <w:qFormat/>
    <w:uiPriority w:val="0"/>
    <w:rPr>
      <w:rFonts w:ascii="Arial" w:hAnsi="Arial"/>
      <w:sz w:val="22"/>
    </w:rPr>
  </w:style>
  <w:style w:type="paragraph" w:customStyle="1" w:styleId="213">
    <w:name w:val="Paragraph"/>
    <w:basedOn w:val="1"/>
    <w:qFormat/>
    <w:uiPriority w:val="0"/>
    <w:rPr>
      <w:rFonts w:ascii="Arial" w:hAnsi="Arial"/>
      <w:sz w:val="22"/>
    </w:rPr>
  </w:style>
  <w:style w:type="paragraph" w:customStyle="1" w:styleId="214">
    <w:name w:val="Table Head"/>
    <w:basedOn w:val="1"/>
    <w:qFormat/>
    <w:uiPriority w:val="0"/>
    <w:rPr>
      <w:rFonts w:ascii="Arial" w:hAnsi="Arial"/>
      <w:b/>
      <w:sz w:val="22"/>
    </w:rPr>
  </w:style>
  <w:style w:type="paragraph" w:customStyle="1" w:styleId="215">
    <w:name w:val="Table Body"/>
    <w:basedOn w:val="1"/>
    <w:qFormat/>
    <w:uiPriority w:val="0"/>
    <w:rPr>
      <w:rFonts w:ascii="Arial" w:hAnsi="Arial"/>
      <w:sz w:val="22"/>
    </w:rPr>
  </w:style>
  <w:style w:type="paragraph" w:customStyle="1" w:styleId="216">
    <w:name w:val="Figure Caption"/>
    <w:basedOn w:val="1"/>
    <w:qFormat/>
    <w:uiPriority w:val="0"/>
    <w:rPr>
      <w:rFonts w:ascii="Arial" w:hAnsi="Arial"/>
      <w:sz w:val="22"/>
    </w:rPr>
  </w:style>
  <w:style w:type="paragraph" w:customStyle="1" w:styleId="217">
    <w:name w:val="References"/>
    <w:basedOn w:val="1"/>
    <w:qFormat/>
    <w:uiPriority w:val="0"/>
    <w:rPr>
      <w:rFonts w:ascii="Arial" w:hAnsi="Arial"/>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article.dot</Template>
  <Company>irisq</Company>
  <Pages>6</Pages>
  <Words>1432</Words>
  <Characters>8976</Characters>
  <Lines>38</Lines>
  <Paragraphs>10</Paragraphs>
  <TotalTime>0</TotalTime>
  <ScaleCrop>false</ScaleCrop>
  <LinksUpToDate>false</LinksUpToDate>
  <CharactersWithSpaces>10279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2018-07-30T10:56:00Z</dcterms:created>
  <dc:creator>pplouffe</dc:creator>
  <cp:lastModifiedBy>liang</cp:lastModifiedBy>
  <cp:lastPrinted>2007-10-15T12:39:00Z</cp:lastPrinted>
  <dcterms:modified xsi:type="dcterms:W3CDTF">2026-06-25T08:04:38Z</dcterms:modified>
  <dc:title>The Impact of a Community-Oriented Problem-Based Learning Curriculum Reform on the Quality of Primary Care Delivered by Gradua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eyJoZGlkIjoiYTc2ZGZiNzZiNDVlOGViOWVmM2JhOTY0NGJkNjUyYzgifQ==</vt:lpwstr>
  </property>
  <property fmtid="{D5CDD505-2E9C-101B-9397-08002B2CF9AE}" pid="3" name="KSOProductBuildVer">
    <vt:lpwstr>2052-12.1.0.26895</vt:lpwstr>
  </property>
  <property fmtid="{D5CDD505-2E9C-101B-9397-08002B2CF9AE}" pid="4" name="ICV">
    <vt:lpwstr>F3DC455A76CA4C8780FDB3731B467C9F_12</vt:lpwstr>
  </property>
</Properties>
</file>